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Pr="00F07EA9" w:rsidRDefault="00284CD2" w:rsidP="00284CD2">
      <w:pPr>
        <w:jc w:val="center"/>
        <w:rPr>
          <w:b/>
          <w:sz w:val="28"/>
          <w:szCs w:val="28"/>
        </w:rPr>
      </w:pPr>
      <w:r w:rsidRPr="00F07EA9">
        <w:rPr>
          <w:noProof/>
        </w:rPr>
        <w:drawing>
          <wp:anchor distT="0" distB="0" distL="114300" distR="114300" simplePos="0" relativeHeight="251661312" behindDoc="0" locked="0" layoutInCell="1" allowOverlap="1" wp14:anchorId="39B33246" wp14:editId="2A9C7CC6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07EA9" w:rsidTr="003533DA">
        <w:trPr>
          <w:trHeight w:val="2011"/>
          <w:jc w:val="center"/>
        </w:trPr>
        <w:tc>
          <w:tcPr>
            <w:tcW w:w="4162" w:type="dxa"/>
          </w:tcPr>
          <w:p w:rsidR="00284CD2" w:rsidRPr="00F07EA9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F07EA9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F07EA9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F07EA9">
              <w:rPr>
                <w:b/>
                <w:sz w:val="28"/>
                <w:szCs w:val="28"/>
              </w:rPr>
              <w:t>СОВЕТ ДЕПУТАТОВ</w:t>
            </w:r>
          </w:p>
          <w:p w:rsidR="00284CD2" w:rsidRPr="00F07EA9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F07EA9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07EA9" w:rsidRDefault="00591EEB" w:rsidP="003533DA">
            <w:pPr>
              <w:jc w:val="center"/>
              <w:rPr>
                <w:sz w:val="28"/>
                <w:szCs w:val="28"/>
              </w:rPr>
            </w:pPr>
            <w:r w:rsidRPr="00F07EA9">
              <w:rPr>
                <w:b/>
                <w:sz w:val="28"/>
                <w:szCs w:val="28"/>
              </w:rPr>
              <w:t>«</w:t>
            </w:r>
            <w:r w:rsidR="00284CD2" w:rsidRPr="00F07EA9">
              <w:rPr>
                <w:b/>
                <w:sz w:val="28"/>
                <w:szCs w:val="28"/>
              </w:rPr>
              <w:t>МУНИЦИПАЛЬНЫЙ ОКРУГ УВИНСКИЙ РАЙОН УДМУРТСКОЙ РЕСПУБЛИКИ</w:t>
            </w:r>
            <w:r w:rsidRPr="00F07EA9">
              <w:rPr>
                <w:b/>
                <w:sz w:val="28"/>
                <w:szCs w:val="28"/>
              </w:rPr>
              <w:t>»</w:t>
            </w:r>
          </w:p>
          <w:p w:rsidR="00284CD2" w:rsidRPr="00F07EA9" w:rsidRDefault="00284CD2" w:rsidP="003533DA">
            <w:pPr>
              <w:jc w:val="center"/>
              <w:rPr>
                <w:sz w:val="28"/>
                <w:szCs w:val="28"/>
              </w:rPr>
            </w:pPr>
            <w:r w:rsidRPr="00F07E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358DA3" wp14:editId="33876B4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466570E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07EA9" w:rsidRDefault="00284CD2" w:rsidP="003533DA">
            <w:pPr>
              <w:rPr>
                <w:sz w:val="28"/>
                <w:szCs w:val="28"/>
              </w:rPr>
            </w:pPr>
          </w:p>
          <w:p w:rsidR="00284CD2" w:rsidRPr="00F07EA9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Pr="00F07EA9" w:rsidRDefault="00284CD2" w:rsidP="003533DA">
            <w:pPr>
              <w:jc w:val="center"/>
              <w:rPr>
                <w:sz w:val="28"/>
                <w:szCs w:val="28"/>
              </w:rPr>
            </w:pPr>
            <w:r w:rsidRPr="00F07EA9">
              <w:rPr>
                <w:sz w:val="28"/>
                <w:szCs w:val="28"/>
              </w:rPr>
              <w:t xml:space="preserve"> </w:t>
            </w:r>
          </w:p>
          <w:p w:rsidR="00284CD2" w:rsidRPr="00F07EA9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Pr="00F07EA9" w:rsidRDefault="00591EEB" w:rsidP="003533DA">
            <w:pPr>
              <w:jc w:val="center"/>
              <w:rPr>
                <w:b/>
                <w:sz w:val="28"/>
                <w:szCs w:val="28"/>
              </w:rPr>
            </w:pPr>
            <w:r w:rsidRPr="00F07EA9">
              <w:rPr>
                <w:b/>
                <w:sz w:val="28"/>
                <w:szCs w:val="28"/>
              </w:rPr>
              <w:t>«</w:t>
            </w:r>
            <w:r w:rsidR="00284CD2" w:rsidRPr="00F07EA9">
              <w:rPr>
                <w:b/>
                <w:sz w:val="28"/>
                <w:szCs w:val="28"/>
              </w:rPr>
              <w:t xml:space="preserve">УДМУРТ ЭЛЬКУНЫСЬ УВА ЁРОС </w:t>
            </w:r>
          </w:p>
          <w:p w:rsidR="00284CD2" w:rsidRPr="00F07EA9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F07EA9">
              <w:rPr>
                <w:b/>
                <w:sz w:val="28"/>
                <w:szCs w:val="28"/>
              </w:rPr>
              <w:t>МУНИЦИПАЛ ОКРУГ</w:t>
            </w:r>
            <w:r w:rsidR="00591EEB" w:rsidRPr="00F07EA9">
              <w:rPr>
                <w:b/>
                <w:sz w:val="28"/>
                <w:szCs w:val="28"/>
              </w:rPr>
              <w:t>»</w:t>
            </w:r>
          </w:p>
          <w:p w:rsidR="00284CD2" w:rsidRPr="00F07EA9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F07EA9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07EA9" w:rsidRDefault="00284CD2" w:rsidP="003533DA">
            <w:pPr>
              <w:jc w:val="center"/>
              <w:rPr>
                <w:sz w:val="28"/>
                <w:szCs w:val="28"/>
              </w:rPr>
            </w:pPr>
            <w:r w:rsidRPr="00F07EA9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F07EA9" w:rsidRDefault="00E47CC0" w:rsidP="00E47CC0">
      <w:pPr>
        <w:jc w:val="center"/>
        <w:rPr>
          <w:sz w:val="28"/>
          <w:szCs w:val="28"/>
        </w:rPr>
      </w:pPr>
    </w:p>
    <w:p w:rsidR="00E47CC0" w:rsidRPr="00F07EA9" w:rsidRDefault="00581711" w:rsidP="00E47CC0">
      <w:pPr>
        <w:jc w:val="center"/>
        <w:rPr>
          <w:sz w:val="28"/>
          <w:szCs w:val="28"/>
        </w:rPr>
      </w:pPr>
      <w:r w:rsidRPr="00F07EA9">
        <w:rPr>
          <w:sz w:val="28"/>
          <w:szCs w:val="28"/>
        </w:rPr>
        <w:t xml:space="preserve"> </w:t>
      </w:r>
    </w:p>
    <w:p w:rsidR="00E47CC0" w:rsidRPr="00F07EA9" w:rsidRDefault="00E47CC0" w:rsidP="003A195F">
      <w:pPr>
        <w:rPr>
          <w:sz w:val="28"/>
          <w:szCs w:val="28"/>
        </w:rPr>
      </w:pPr>
    </w:p>
    <w:p w:rsidR="00E47CC0" w:rsidRPr="00F07EA9" w:rsidRDefault="00E47CC0" w:rsidP="00D14F61">
      <w:pPr>
        <w:jc w:val="center"/>
        <w:rPr>
          <w:b/>
          <w:sz w:val="36"/>
          <w:szCs w:val="36"/>
          <w:u w:val="single"/>
        </w:rPr>
      </w:pPr>
      <w:r w:rsidRPr="00F07EA9">
        <w:rPr>
          <w:b/>
          <w:sz w:val="36"/>
          <w:szCs w:val="36"/>
        </w:rPr>
        <w:t>Р Е Ш Е Н И Е</w:t>
      </w:r>
      <w:r w:rsidR="006350EE" w:rsidRPr="00F07EA9">
        <w:rPr>
          <w:b/>
          <w:sz w:val="36"/>
          <w:szCs w:val="36"/>
        </w:rPr>
        <w:t xml:space="preserve"> </w:t>
      </w:r>
    </w:p>
    <w:p w:rsidR="00EE6DA1" w:rsidRPr="00F07EA9" w:rsidRDefault="00EE6DA1">
      <w:pPr>
        <w:rPr>
          <w:sz w:val="28"/>
          <w:szCs w:val="28"/>
        </w:rPr>
      </w:pPr>
    </w:p>
    <w:p w:rsidR="00581711" w:rsidRPr="00F07EA9" w:rsidRDefault="00581711">
      <w:pPr>
        <w:rPr>
          <w:sz w:val="28"/>
          <w:szCs w:val="28"/>
        </w:rPr>
      </w:pPr>
    </w:p>
    <w:p w:rsidR="00E47CC0" w:rsidRPr="00F07EA9" w:rsidRDefault="006A4015">
      <w:pPr>
        <w:rPr>
          <w:sz w:val="28"/>
          <w:szCs w:val="28"/>
        </w:rPr>
      </w:pPr>
      <w:r w:rsidRPr="00F07EA9">
        <w:rPr>
          <w:sz w:val="28"/>
          <w:szCs w:val="28"/>
        </w:rPr>
        <w:t xml:space="preserve">от </w:t>
      </w:r>
      <w:r w:rsidR="00DA4966" w:rsidRPr="00F07EA9">
        <w:rPr>
          <w:sz w:val="28"/>
          <w:szCs w:val="28"/>
        </w:rPr>
        <w:t>2</w:t>
      </w:r>
      <w:r w:rsidR="00713329" w:rsidRPr="00F07EA9">
        <w:rPr>
          <w:sz w:val="28"/>
          <w:szCs w:val="28"/>
        </w:rPr>
        <w:t>5 декабря</w:t>
      </w:r>
      <w:r w:rsidR="00EE6DA1" w:rsidRPr="00F07EA9">
        <w:rPr>
          <w:sz w:val="28"/>
          <w:szCs w:val="28"/>
        </w:rPr>
        <w:t xml:space="preserve"> </w:t>
      </w:r>
      <w:r w:rsidR="00E47CC0" w:rsidRPr="00F07EA9">
        <w:rPr>
          <w:sz w:val="28"/>
          <w:szCs w:val="28"/>
        </w:rPr>
        <w:t>20</w:t>
      </w:r>
      <w:r w:rsidR="006F2985" w:rsidRPr="00F07EA9">
        <w:rPr>
          <w:sz w:val="28"/>
          <w:szCs w:val="28"/>
        </w:rPr>
        <w:t>2</w:t>
      </w:r>
      <w:r w:rsidR="00713329" w:rsidRPr="00F07EA9">
        <w:rPr>
          <w:sz w:val="28"/>
          <w:szCs w:val="28"/>
        </w:rPr>
        <w:t>5</w:t>
      </w:r>
      <w:r w:rsidR="00E47CC0" w:rsidRPr="00F07EA9">
        <w:rPr>
          <w:sz w:val="28"/>
          <w:szCs w:val="28"/>
        </w:rPr>
        <w:t xml:space="preserve"> года                                                 </w:t>
      </w:r>
      <w:r w:rsidRPr="00F07EA9">
        <w:rPr>
          <w:sz w:val="28"/>
          <w:szCs w:val="28"/>
        </w:rPr>
        <w:t xml:space="preserve">                     </w:t>
      </w:r>
      <w:r w:rsidR="00077853" w:rsidRPr="00F07EA9">
        <w:rPr>
          <w:sz w:val="28"/>
          <w:szCs w:val="28"/>
        </w:rPr>
        <w:t xml:space="preserve">    </w:t>
      </w:r>
      <w:r w:rsidR="00581711" w:rsidRPr="00F07EA9">
        <w:rPr>
          <w:sz w:val="28"/>
          <w:szCs w:val="28"/>
        </w:rPr>
        <w:t xml:space="preserve">   </w:t>
      </w:r>
      <w:r w:rsidR="00BD1B12">
        <w:rPr>
          <w:sz w:val="28"/>
          <w:szCs w:val="28"/>
        </w:rPr>
        <w:t xml:space="preserve">     </w:t>
      </w:r>
      <w:bookmarkStart w:id="0" w:name="_GoBack"/>
      <w:bookmarkEnd w:id="0"/>
      <w:r w:rsidRPr="00F07EA9">
        <w:rPr>
          <w:sz w:val="28"/>
          <w:szCs w:val="28"/>
        </w:rPr>
        <w:t xml:space="preserve"> </w:t>
      </w:r>
      <w:r w:rsidR="00290B4D" w:rsidRPr="00F07EA9">
        <w:rPr>
          <w:sz w:val="28"/>
          <w:szCs w:val="28"/>
        </w:rPr>
        <w:t xml:space="preserve"> </w:t>
      </w:r>
      <w:r w:rsidRPr="00F07EA9">
        <w:rPr>
          <w:sz w:val="28"/>
          <w:szCs w:val="28"/>
        </w:rPr>
        <w:t>№</w:t>
      </w:r>
      <w:r w:rsidR="005864C7">
        <w:rPr>
          <w:sz w:val="28"/>
          <w:szCs w:val="28"/>
        </w:rPr>
        <w:t>419</w:t>
      </w:r>
    </w:p>
    <w:p w:rsidR="00D14F61" w:rsidRPr="00F07EA9" w:rsidRDefault="00D14F61" w:rsidP="00E47CC0">
      <w:pPr>
        <w:jc w:val="center"/>
        <w:rPr>
          <w:sz w:val="28"/>
          <w:szCs w:val="28"/>
        </w:rPr>
      </w:pPr>
    </w:p>
    <w:p w:rsidR="00E47CC0" w:rsidRPr="00F07EA9" w:rsidRDefault="00E47CC0" w:rsidP="00E47CC0">
      <w:pPr>
        <w:jc w:val="center"/>
        <w:rPr>
          <w:sz w:val="28"/>
          <w:szCs w:val="28"/>
        </w:rPr>
      </w:pPr>
      <w:r w:rsidRPr="00F07EA9">
        <w:rPr>
          <w:sz w:val="28"/>
          <w:szCs w:val="28"/>
        </w:rPr>
        <w:t>пос. Ува</w:t>
      </w:r>
    </w:p>
    <w:p w:rsidR="001956FC" w:rsidRPr="00F07EA9" w:rsidRDefault="001956FC" w:rsidP="005E26FB">
      <w:pPr>
        <w:rPr>
          <w:sz w:val="28"/>
          <w:szCs w:val="28"/>
        </w:rPr>
      </w:pPr>
    </w:p>
    <w:p w:rsidR="00284CD2" w:rsidRPr="00F07EA9" w:rsidRDefault="00284CD2" w:rsidP="005E26F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F07EA9" w:rsidTr="00A86C89">
        <w:tc>
          <w:tcPr>
            <w:tcW w:w="4644" w:type="dxa"/>
          </w:tcPr>
          <w:p w:rsidR="00713329" w:rsidRPr="00F07EA9" w:rsidRDefault="00713329" w:rsidP="00713329">
            <w:pPr>
              <w:jc w:val="both"/>
              <w:rPr>
                <w:b/>
                <w:bCs/>
                <w:sz w:val="28"/>
                <w:szCs w:val="28"/>
              </w:rPr>
            </w:pPr>
            <w:r w:rsidRPr="00F07EA9">
              <w:rPr>
                <w:b/>
                <w:bCs/>
                <w:sz w:val="28"/>
                <w:szCs w:val="28"/>
              </w:rPr>
              <w:t xml:space="preserve">Об утверждении местных нормативов градостроительного </w:t>
            </w:r>
          </w:p>
          <w:p w:rsidR="00A86C89" w:rsidRPr="00F07EA9" w:rsidRDefault="00713329" w:rsidP="00713329">
            <w:pPr>
              <w:pStyle w:val="ac"/>
              <w:spacing w:before="0" w:beforeAutospacing="0" w:after="0" w:afterAutospacing="0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F07EA9">
              <w:rPr>
                <w:b/>
                <w:bCs/>
                <w:color w:val="auto"/>
                <w:sz w:val="28"/>
                <w:szCs w:val="28"/>
              </w:rPr>
              <w:t xml:space="preserve">проектирования муниципального образования </w:t>
            </w:r>
            <w:r w:rsidR="00591EEB" w:rsidRPr="00F07EA9">
              <w:rPr>
                <w:b/>
                <w:color w:val="auto"/>
                <w:sz w:val="28"/>
                <w:szCs w:val="28"/>
              </w:rPr>
              <w:t>«</w:t>
            </w:r>
            <w:r w:rsidR="006B2D85" w:rsidRPr="00F07EA9">
              <w:rPr>
                <w:b/>
                <w:color w:val="auto"/>
                <w:sz w:val="28"/>
                <w:szCs w:val="28"/>
              </w:rPr>
              <w:t>Муниципальный округ Увинский район Удмуртской Республики</w:t>
            </w:r>
            <w:r w:rsidR="00591EEB" w:rsidRPr="00F07EA9">
              <w:rPr>
                <w:b/>
                <w:color w:val="auto"/>
                <w:sz w:val="28"/>
                <w:szCs w:val="28"/>
              </w:rPr>
              <w:t>»</w:t>
            </w:r>
          </w:p>
        </w:tc>
      </w:tr>
    </w:tbl>
    <w:p w:rsidR="00D14F61" w:rsidRPr="00F07EA9" w:rsidRDefault="00D14F61" w:rsidP="00E47CC0">
      <w:pPr>
        <w:jc w:val="both"/>
        <w:rPr>
          <w:b/>
          <w:sz w:val="28"/>
          <w:szCs w:val="28"/>
        </w:rPr>
      </w:pPr>
    </w:p>
    <w:p w:rsidR="00284CD2" w:rsidRPr="00F07EA9" w:rsidRDefault="00284CD2" w:rsidP="00E47CC0">
      <w:pPr>
        <w:jc w:val="both"/>
        <w:rPr>
          <w:b/>
          <w:sz w:val="28"/>
          <w:szCs w:val="28"/>
        </w:rPr>
      </w:pPr>
    </w:p>
    <w:p w:rsidR="00284CD2" w:rsidRPr="00F07EA9" w:rsidRDefault="00284CD2" w:rsidP="00E47CC0">
      <w:pPr>
        <w:jc w:val="both"/>
        <w:rPr>
          <w:b/>
          <w:sz w:val="28"/>
          <w:szCs w:val="28"/>
        </w:rPr>
      </w:pPr>
    </w:p>
    <w:p w:rsidR="00903169" w:rsidRPr="00F07EA9" w:rsidRDefault="00713329" w:rsidP="00581711">
      <w:pPr>
        <w:pStyle w:val="a8"/>
        <w:ind w:firstLine="567"/>
        <w:jc w:val="both"/>
        <w:rPr>
          <w:sz w:val="28"/>
          <w:szCs w:val="28"/>
        </w:rPr>
      </w:pPr>
      <w:r w:rsidRPr="00F07EA9">
        <w:rPr>
          <w:rFonts w:ascii="Times New Roman" w:hAnsi="Times New Roman"/>
          <w:sz w:val="28"/>
          <w:szCs w:val="28"/>
        </w:rPr>
        <w:t>В соответствии с Градостроительным Кодексом Российской Федерации, порядком</w:t>
      </w:r>
      <w:r w:rsidRPr="00F07EA9">
        <w:rPr>
          <w:rFonts w:ascii="Times New Roman" w:hAnsi="Times New Roman"/>
          <w:bCs/>
          <w:sz w:val="28"/>
          <w:szCs w:val="28"/>
        </w:rPr>
        <w:t xml:space="preserve"> подготовки и утверждения местных нормативов градостроительного проектирования муниципального образования </w:t>
      </w:r>
      <w:r w:rsidR="00591EEB" w:rsidRPr="00F07EA9">
        <w:rPr>
          <w:rFonts w:ascii="Times New Roman" w:hAnsi="Times New Roman"/>
          <w:bCs/>
          <w:sz w:val="28"/>
          <w:szCs w:val="28"/>
        </w:rPr>
        <w:t>«</w:t>
      </w:r>
      <w:r w:rsidRPr="00F07EA9">
        <w:rPr>
          <w:rFonts w:ascii="Times New Roman" w:hAnsi="Times New Roman"/>
          <w:sz w:val="28"/>
          <w:szCs w:val="28"/>
        </w:rPr>
        <w:t>Муниципальный округ Увинский район Удмуртской Республики</w:t>
      </w:r>
      <w:r w:rsidR="00591EEB" w:rsidRPr="00F07EA9">
        <w:rPr>
          <w:rFonts w:ascii="Times New Roman" w:hAnsi="Times New Roman"/>
          <w:bCs/>
          <w:sz w:val="28"/>
          <w:szCs w:val="28"/>
        </w:rPr>
        <w:t>»</w:t>
      </w:r>
      <w:r w:rsidRPr="00F07EA9">
        <w:rPr>
          <w:rFonts w:ascii="Times New Roman" w:hAnsi="Times New Roman"/>
          <w:bCs/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591EEB" w:rsidRPr="00F07EA9">
        <w:rPr>
          <w:rFonts w:ascii="Times New Roman" w:hAnsi="Times New Roman"/>
          <w:bCs/>
          <w:sz w:val="28"/>
          <w:szCs w:val="28"/>
        </w:rPr>
        <w:t>«</w:t>
      </w:r>
      <w:r w:rsidRPr="00F07EA9">
        <w:rPr>
          <w:rFonts w:ascii="Times New Roman" w:hAnsi="Times New Roman"/>
          <w:bCs/>
          <w:sz w:val="28"/>
          <w:szCs w:val="28"/>
        </w:rPr>
        <w:t>Увинский район</w:t>
      </w:r>
      <w:r w:rsidR="00591EEB" w:rsidRPr="00F07EA9">
        <w:rPr>
          <w:rFonts w:ascii="Times New Roman" w:hAnsi="Times New Roman"/>
          <w:bCs/>
          <w:sz w:val="28"/>
          <w:szCs w:val="28"/>
        </w:rPr>
        <w:t>»</w:t>
      </w:r>
      <w:r w:rsidRPr="00F07EA9">
        <w:rPr>
          <w:rFonts w:ascii="Times New Roman" w:hAnsi="Times New Roman"/>
          <w:bCs/>
          <w:sz w:val="28"/>
          <w:szCs w:val="28"/>
        </w:rPr>
        <w:t xml:space="preserve"> </w:t>
      </w:r>
      <w:r w:rsidRPr="00640731">
        <w:rPr>
          <w:rFonts w:ascii="Times New Roman" w:hAnsi="Times New Roman"/>
          <w:bCs/>
          <w:sz w:val="28"/>
          <w:szCs w:val="28"/>
        </w:rPr>
        <w:t xml:space="preserve">от </w:t>
      </w:r>
      <w:r w:rsidR="00640731" w:rsidRPr="00640731">
        <w:rPr>
          <w:rFonts w:ascii="Times New Roman" w:hAnsi="Times New Roman"/>
          <w:bCs/>
          <w:sz w:val="28"/>
          <w:szCs w:val="28"/>
        </w:rPr>
        <w:t>29.02.2024 №346</w:t>
      </w:r>
      <w:r w:rsidRPr="00640731">
        <w:rPr>
          <w:rFonts w:ascii="Times New Roman" w:hAnsi="Times New Roman"/>
          <w:bCs/>
          <w:sz w:val="28"/>
          <w:szCs w:val="28"/>
        </w:rPr>
        <w:t>,</w:t>
      </w:r>
      <w:r w:rsidRPr="00F07EA9">
        <w:rPr>
          <w:rFonts w:ascii="Times New Roman" w:hAnsi="Times New Roman"/>
          <w:bCs/>
          <w:sz w:val="28"/>
          <w:szCs w:val="28"/>
        </w:rPr>
        <w:t xml:space="preserve"> р</w:t>
      </w:r>
      <w:r w:rsidR="00903169" w:rsidRPr="00F07EA9">
        <w:rPr>
          <w:rFonts w:ascii="Times New Roman" w:hAnsi="Times New Roman"/>
          <w:sz w:val="28"/>
          <w:szCs w:val="28"/>
        </w:rPr>
        <w:t xml:space="preserve">уководствуясь Уставом муниципального образования </w:t>
      </w:r>
      <w:r w:rsidR="00591EEB" w:rsidRPr="00F07EA9">
        <w:rPr>
          <w:rFonts w:ascii="Times New Roman" w:hAnsi="Times New Roman"/>
          <w:sz w:val="28"/>
          <w:szCs w:val="28"/>
        </w:rPr>
        <w:t>«</w:t>
      </w:r>
      <w:r w:rsidR="00581711" w:rsidRPr="00F07EA9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F07EA9">
        <w:rPr>
          <w:rFonts w:ascii="Times New Roman" w:hAnsi="Times New Roman"/>
          <w:sz w:val="28"/>
          <w:szCs w:val="28"/>
        </w:rPr>
        <w:t>Увинский район</w:t>
      </w:r>
      <w:r w:rsidR="00581711" w:rsidRPr="00F07EA9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591EEB" w:rsidRPr="00F07EA9">
        <w:rPr>
          <w:rFonts w:ascii="Times New Roman" w:hAnsi="Times New Roman"/>
          <w:sz w:val="28"/>
          <w:szCs w:val="28"/>
        </w:rPr>
        <w:t>»</w:t>
      </w:r>
      <w:r w:rsidR="00903169" w:rsidRPr="00F07EA9">
        <w:rPr>
          <w:rFonts w:ascii="Times New Roman" w:hAnsi="Times New Roman"/>
          <w:sz w:val="28"/>
          <w:szCs w:val="28"/>
        </w:rPr>
        <w:t xml:space="preserve">, принятым решением </w:t>
      </w:r>
      <w:r w:rsidR="00581711" w:rsidRPr="00F07EA9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</w:t>
      </w:r>
      <w:r w:rsidR="00591EEB" w:rsidRPr="00F07EA9">
        <w:rPr>
          <w:rFonts w:ascii="Times New Roman" w:hAnsi="Times New Roman"/>
          <w:sz w:val="28"/>
          <w:szCs w:val="28"/>
        </w:rPr>
        <w:t>«</w:t>
      </w:r>
      <w:r w:rsidR="00581711" w:rsidRPr="00F07EA9">
        <w:rPr>
          <w:rFonts w:ascii="Times New Roman" w:hAnsi="Times New Roman"/>
          <w:sz w:val="28"/>
          <w:szCs w:val="28"/>
        </w:rPr>
        <w:t>Муниципальный округ Увинский район Удмуртской Республики</w:t>
      </w:r>
      <w:r w:rsidR="00591EEB" w:rsidRPr="00F07EA9">
        <w:rPr>
          <w:rFonts w:ascii="Times New Roman" w:hAnsi="Times New Roman"/>
          <w:sz w:val="28"/>
          <w:szCs w:val="28"/>
        </w:rPr>
        <w:t>»</w:t>
      </w:r>
      <w:r w:rsidR="00581711" w:rsidRPr="00F07EA9">
        <w:rPr>
          <w:rFonts w:ascii="Times New Roman" w:hAnsi="Times New Roman"/>
          <w:sz w:val="28"/>
          <w:szCs w:val="28"/>
        </w:rPr>
        <w:t xml:space="preserve"> </w:t>
      </w:r>
      <w:r w:rsidR="00581711" w:rsidRPr="006D4E51">
        <w:rPr>
          <w:rFonts w:ascii="Times New Roman" w:hAnsi="Times New Roman"/>
          <w:sz w:val="28"/>
          <w:szCs w:val="28"/>
        </w:rPr>
        <w:t xml:space="preserve">от </w:t>
      </w:r>
      <w:r w:rsidR="006D4E51" w:rsidRPr="006D4E51">
        <w:rPr>
          <w:rFonts w:ascii="Times New Roman" w:eastAsiaTheme="minorHAnsi" w:hAnsi="Times New Roman"/>
          <w:sz w:val="28"/>
          <w:szCs w:val="28"/>
          <w:lang w:eastAsia="en-US"/>
        </w:rPr>
        <w:t>29.10.2021 №22</w:t>
      </w:r>
      <w:r w:rsidR="00581711" w:rsidRPr="006D4E51">
        <w:rPr>
          <w:rFonts w:ascii="Times New Roman" w:hAnsi="Times New Roman"/>
          <w:sz w:val="28"/>
          <w:szCs w:val="28"/>
        </w:rPr>
        <w:t>,</w:t>
      </w:r>
      <w:r w:rsidR="00581711" w:rsidRPr="00F07EA9">
        <w:rPr>
          <w:rFonts w:ascii="Times New Roman" w:hAnsi="Times New Roman"/>
          <w:sz w:val="28"/>
          <w:szCs w:val="28"/>
        </w:rPr>
        <w:t xml:space="preserve"> </w:t>
      </w:r>
      <w:r w:rsidR="00903169" w:rsidRPr="00F07EA9">
        <w:rPr>
          <w:rFonts w:ascii="Times New Roman" w:hAnsi="Times New Roman"/>
          <w:sz w:val="28"/>
          <w:szCs w:val="28"/>
        </w:rPr>
        <w:t xml:space="preserve">Совет депутатов муниципального образования </w:t>
      </w:r>
      <w:r w:rsidR="00591EEB" w:rsidRPr="00F07EA9">
        <w:rPr>
          <w:rFonts w:ascii="Times New Roman" w:hAnsi="Times New Roman"/>
          <w:sz w:val="28"/>
          <w:szCs w:val="28"/>
        </w:rPr>
        <w:t>«</w:t>
      </w:r>
      <w:r w:rsidR="00581711" w:rsidRPr="00F07EA9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F07EA9">
        <w:rPr>
          <w:rFonts w:ascii="Times New Roman" w:hAnsi="Times New Roman"/>
          <w:sz w:val="28"/>
          <w:szCs w:val="28"/>
        </w:rPr>
        <w:t>Увинский район</w:t>
      </w:r>
      <w:r w:rsidR="00581711" w:rsidRPr="00F07EA9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591EEB" w:rsidRPr="00F07EA9">
        <w:rPr>
          <w:rFonts w:ascii="Times New Roman" w:hAnsi="Times New Roman"/>
          <w:sz w:val="28"/>
          <w:szCs w:val="28"/>
        </w:rPr>
        <w:t>»</w:t>
      </w:r>
      <w:r w:rsidR="00903169" w:rsidRPr="00F07EA9">
        <w:rPr>
          <w:rFonts w:ascii="Times New Roman" w:hAnsi="Times New Roman"/>
          <w:sz w:val="28"/>
          <w:szCs w:val="28"/>
        </w:rPr>
        <w:t xml:space="preserve"> </w:t>
      </w:r>
      <w:r w:rsidR="00903169" w:rsidRPr="00F07EA9">
        <w:rPr>
          <w:rFonts w:ascii="Times New Roman" w:hAnsi="Times New Roman"/>
          <w:b/>
          <w:sz w:val="28"/>
          <w:szCs w:val="28"/>
        </w:rPr>
        <w:t>р е ш а е т:</w:t>
      </w:r>
    </w:p>
    <w:p w:rsidR="00713329" w:rsidRPr="00F07EA9" w:rsidRDefault="002811BB" w:rsidP="00713329">
      <w:pPr>
        <w:ind w:firstLine="567"/>
        <w:jc w:val="both"/>
        <w:rPr>
          <w:bCs/>
          <w:sz w:val="28"/>
          <w:szCs w:val="28"/>
        </w:rPr>
      </w:pPr>
      <w:r w:rsidRPr="00F07EA9">
        <w:rPr>
          <w:bCs/>
          <w:sz w:val="28"/>
          <w:szCs w:val="28"/>
        </w:rPr>
        <w:t>1. У</w:t>
      </w:r>
      <w:r w:rsidR="00713329" w:rsidRPr="00F07EA9">
        <w:rPr>
          <w:bCs/>
          <w:sz w:val="28"/>
          <w:szCs w:val="28"/>
        </w:rPr>
        <w:t xml:space="preserve">твердить местные нормативы градостроительного проектирования муниципального образования </w:t>
      </w:r>
      <w:r w:rsidR="00591EEB" w:rsidRPr="00F07EA9">
        <w:rPr>
          <w:bCs/>
          <w:sz w:val="28"/>
          <w:szCs w:val="28"/>
        </w:rPr>
        <w:t>«</w:t>
      </w:r>
      <w:r w:rsidR="00713329" w:rsidRPr="00F07EA9">
        <w:rPr>
          <w:sz w:val="28"/>
          <w:szCs w:val="28"/>
        </w:rPr>
        <w:t>Муниципальный округ Увинский район Удмуртской Республики</w:t>
      </w:r>
      <w:r w:rsidR="00591EEB" w:rsidRPr="00F07EA9">
        <w:rPr>
          <w:bCs/>
          <w:sz w:val="28"/>
          <w:szCs w:val="28"/>
        </w:rPr>
        <w:t>»</w:t>
      </w:r>
      <w:r w:rsidR="00713329" w:rsidRPr="00F07EA9">
        <w:rPr>
          <w:bCs/>
          <w:sz w:val="28"/>
          <w:szCs w:val="28"/>
        </w:rPr>
        <w:t xml:space="preserve"> (прилагаются).</w:t>
      </w:r>
    </w:p>
    <w:p w:rsidR="00640731" w:rsidRPr="00F07EA9" w:rsidRDefault="00640731" w:rsidP="00640731">
      <w:pPr>
        <w:ind w:firstLine="567"/>
        <w:jc w:val="both"/>
        <w:rPr>
          <w:sz w:val="28"/>
          <w:szCs w:val="28"/>
        </w:rPr>
      </w:pPr>
      <w:r w:rsidRPr="00162FE8">
        <w:rPr>
          <w:bCs/>
          <w:sz w:val="28"/>
          <w:szCs w:val="28"/>
        </w:rPr>
        <w:lastRenderedPageBreak/>
        <w:t xml:space="preserve">2. Признать утратившим силу решение Совета депутатов муниципального образования «Увинский район» от </w:t>
      </w:r>
      <w:r w:rsidRPr="00162FE8">
        <w:rPr>
          <w:sz w:val="28"/>
          <w:szCs w:val="28"/>
        </w:rPr>
        <w:t xml:space="preserve">29.06.2018 №167 </w:t>
      </w:r>
      <w:r w:rsidR="000D4977">
        <w:rPr>
          <w:sz w:val="28"/>
          <w:szCs w:val="28"/>
        </w:rPr>
        <w:t>«</w:t>
      </w:r>
      <w:r w:rsidRPr="00162FE8">
        <w:rPr>
          <w:bCs/>
          <w:sz w:val="28"/>
          <w:szCs w:val="28"/>
        </w:rPr>
        <w:t>Об утверждении местных нормативов градостроительного проектирования муниципального образования «</w:t>
      </w:r>
      <w:r w:rsidRPr="00162FE8">
        <w:rPr>
          <w:sz w:val="28"/>
          <w:szCs w:val="28"/>
        </w:rPr>
        <w:t>Увинский район</w:t>
      </w:r>
      <w:r w:rsidRPr="00162FE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  <w:r w:rsidR="00D57BAA">
        <w:rPr>
          <w:bCs/>
        </w:rPr>
        <w:t xml:space="preserve"> </w:t>
      </w:r>
    </w:p>
    <w:p w:rsidR="003A195F" w:rsidRPr="00F07EA9" w:rsidRDefault="003A195F" w:rsidP="00903169">
      <w:pPr>
        <w:rPr>
          <w:sz w:val="28"/>
          <w:szCs w:val="28"/>
        </w:rPr>
      </w:pPr>
    </w:p>
    <w:p w:rsidR="002811BB" w:rsidRPr="00F07EA9" w:rsidRDefault="002811BB" w:rsidP="00903169">
      <w:pPr>
        <w:rPr>
          <w:sz w:val="28"/>
          <w:szCs w:val="28"/>
        </w:rPr>
      </w:pPr>
    </w:p>
    <w:p w:rsidR="002811BB" w:rsidRPr="00F07EA9" w:rsidRDefault="002811BB" w:rsidP="002811BB">
      <w:pPr>
        <w:jc w:val="both"/>
        <w:rPr>
          <w:sz w:val="28"/>
          <w:szCs w:val="28"/>
        </w:rPr>
      </w:pPr>
      <w:r w:rsidRPr="00F07EA9">
        <w:rPr>
          <w:sz w:val="28"/>
          <w:szCs w:val="28"/>
        </w:rPr>
        <w:t>Глав</w:t>
      </w:r>
      <w:r w:rsidR="00ED4CDB">
        <w:rPr>
          <w:sz w:val="28"/>
          <w:szCs w:val="28"/>
        </w:rPr>
        <w:t>а муни</w:t>
      </w:r>
      <w:r w:rsidR="007B259D">
        <w:rPr>
          <w:sz w:val="28"/>
          <w:szCs w:val="28"/>
        </w:rPr>
        <w:t xml:space="preserve">ципального образования                                   </w:t>
      </w:r>
      <w:r w:rsidRPr="00F07EA9">
        <w:rPr>
          <w:sz w:val="28"/>
          <w:szCs w:val="28"/>
        </w:rPr>
        <w:t>В.А. Головин</w:t>
      </w:r>
    </w:p>
    <w:p w:rsidR="006350EE" w:rsidRPr="00F07EA9" w:rsidRDefault="006350EE" w:rsidP="00903169">
      <w:pPr>
        <w:rPr>
          <w:sz w:val="28"/>
          <w:szCs w:val="28"/>
        </w:rPr>
      </w:pPr>
    </w:p>
    <w:p w:rsidR="002811BB" w:rsidRPr="00F07EA9" w:rsidRDefault="002811BB" w:rsidP="00903169">
      <w:pPr>
        <w:rPr>
          <w:sz w:val="28"/>
          <w:szCs w:val="28"/>
        </w:rPr>
      </w:pPr>
    </w:p>
    <w:p w:rsidR="00E47CC0" w:rsidRPr="00F07EA9" w:rsidRDefault="00903169" w:rsidP="000D4977">
      <w:pPr>
        <w:jc w:val="both"/>
        <w:rPr>
          <w:sz w:val="28"/>
          <w:szCs w:val="28"/>
        </w:rPr>
      </w:pPr>
      <w:r w:rsidRPr="00F07EA9">
        <w:rPr>
          <w:sz w:val="28"/>
          <w:szCs w:val="28"/>
        </w:rPr>
        <w:t xml:space="preserve">Председатель </w:t>
      </w:r>
      <w:r w:rsidR="00581711" w:rsidRPr="00F07EA9">
        <w:rPr>
          <w:sz w:val="28"/>
          <w:szCs w:val="28"/>
        </w:rPr>
        <w:t xml:space="preserve">Совета депутатов </w:t>
      </w:r>
      <w:r w:rsidRPr="00F07EA9">
        <w:rPr>
          <w:sz w:val="28"/>
          <w:szCs w:val="28"/>
        </w:rPr>
        <w:t xml:space="preserve">                 </w:t>
      </w:r>
      <w:r w:rsidR="009C7DA9" w:rsidRPr="00F07EA9">
        <w:rPr>
          <w:sz w:val="28"/>
          <w:szCs w:val="28"/>
        </w:rPr>
        <w:t xml:space="preserve">                        </w:t>
      </w:r>
      <w:r w:rsidRPr="00F07EA9">
        <w:rPr>
          <w:sz w:val="28"/>
          <w:szCs w:val="28"/>
        </w:rPr>
        <w:t>И.А. Митрюкова</w:t>
      </w: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Default="004D087A" w:rsidP="000A4279">
      <w:pPr>
        <w:rPr>
          <w:sz w:val="28"/>
          <w:szCs w:val="28"/>
        </w:rPr>
      </w:pPr>
    </w:p>
    <w:p w:rsidR="00640731" w:rsidRDefault="00640731" w:rsidP="000A4279">
      <w:pPr>
        <w:rPr>
          <w:sz w:val="28"/>
          <w:szCs w:val="28"/>
        </w:rPr>
      </w:pPr>
    </w:p>
    <w:p w:rsidR="00640731" w:rsidRPr="00F07EA9" w:rsidRDefault="00640731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4D087A" w:rsidRPr="00F07EA9" w:rsidRDefault="004D087A" w:rsidP="000A4279">
      <w:pPr>
        <w:rPr>
          <w:sz w:val="28"/>
          <w:szCs w:val="28"/>
        </w:rPr>
      </w:pPr>
    </w:p>
    <w:p w:rsidR="00060BC5" w:rsidRPr="00F07EA9" w:rsidRDefault="00060BC5" w:rsidP="00060BC5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0"/>
          <w:szCs w:val="28"/>
          <w:lang w:eastAsia="en-US"/>
        </w:rPr>
      </w:pPr>
      <w:r w:rsidRPr="00F07EA9">
        <w:rPr>
          <w:rFonts w:eastAsiaTheme="minorHAnsi"/>
          <w:sz w:val="20"/>
          <w:szCs w:val="28"/>
          <w:lang w:eastAsia="en-US"/>
        </w:rPr>
        <w:lastRenderedPageBreak/>
        <w:t>Приложение</w:t>
      </w:r>
    </w:p>
    <w:p w:rsidR="00060BC5" w:rsidRPr="00F07EA9" w:rsidRDefault="00060BC5" w:rsidP="00060BC5">
      <w:pPr>
        <w:autoSpaceDE w:val="0"/>
        <w:autoSpaceDN w:val="0"/>
        <w:adjustRightInd w:val="0"/>
        <w:jc w:val="right"/>
        <w:rPr>
          <w:rFonts w:eastAsiaTheme="minorHAnsi"/>
          <w:sz w:val="20"/>
          <w:szCs w:val="28"/>
          <w:lang w:eastAsia="en-US"/>
        </w:rPr>
      </w:pPr>
      <w:r w:rsidRPr="00F07EA9">
        <w:rPr>
          <w:rFonts w:eastAsiaTheme="minorHAnsi"/>
          <w:sz w:val="20"/>
          <w:szCs w:val="28"/>
          <w:lang w:eastAsia="en-US"/>
        </w:rPr>
        <w:t>к решению</w:t>
      </w:r>
    </w:p>
    <w:p w:rsidR="00060BC5" w:rsidRPr="00F07EA9" w:rsidRDefault="00060BC5" w:rsidP="00060BC5">
      <w:pPr>
        <w:autoSpaceDE w:val="0"/>
        <w:autoSpaceDN w:val="0"/>
        <w:adjustRightInd w:val="0"/>
        <w:jc w:val="right"/>
        <w:rPr>
          <w:rFonts w:eastAsiaTheme="minorHAnsi"/>
          <w:sz w:val="20"/>
          <w:szCs w:val="28"/>
          <w:lang w:eastAsia="en-US"/>
        </w:rPr>
      </w:pPr>
      <w:r w:rsidRPr="00F07EA9">
        <w:rPr>
          <w:rFonts w:eastAsiaTheme="minorHAnsi"/>
          <w:sz w:val="20"/>
          <w:szCs w:val="28"/>
          <w:lang w:eastAsia="en-US"/>
        </w:rPr>
        <w:t>Совета депутатов</w:t>
      </w:r>
    </w:p>
    <w:p w:rsidR="00060BC5" w:rsidRPr="00F07EA9" w:rsidRDefault="00060BC5" w:rsidP="00060BC5">
      <w:pPr>
        <w:autoSpaceDE w:val="0"/>
        <w:autoSpaceDN w:val="0"/>
        <w:adjustRightInd w:val="0"/>
        <w:jc w:val="right"/>
        <w:rPr>
          <w:rFonts w:eastAsiaTheme="minorHAnsi"/>
          <w:sz w:val="20"/>
          <w:szCs w:val="28"/>
          <w:lang w:eastAsia="en-US"/>
        </w:rPr>
      </w:pPr>
      <w:r w:rsidRPr="00F07EA9">
        <w:rPr>
          <w:rFonts w:eastAsiaTheme="minorHAnsi"/>
          <w:sz w:val="20"/>
          <w:szCs w:val="28"/>
          <w:lang w:eastAsia="en-US"/>
        </w:rPr>
        <w:t>муниципального образования</w:t>
      </w:r>
    </w:p>
    <w:p w:rsidR="00060BC5" w:rsidRPr="00F07EA9" w:rsidRDefault="00591EEB" w:rsidP="00060BC5">
      <w:pPr>
        <w:autoSpaceDE w:val="0"/>
        <w:autoSpaceDN w:val="0"/>
        <w:adjustRightInd w:val="0"/>
        <w:jc w:val="right"/>
        <w:rPr>
          <w:rFonts w:eastAsiaTheme="minorHAnsi"/>
          <w:sz w:val="20"/>
          <w:szCs w:val="28"/>
          <w:lang w:eastAsia="en-US"/>
        </w:rPr>
      </w:pPr>
      <w:r w:rsidRPr="00F07EA9">
        <w:rPr>
          <w:rFonts w:eastAsiaTheme="minorHAnsi"/>
          <w:sz w:val="20"/>
          <w:szCs w:val="28"/>
          <w:lang w:eastAsia="en-US"/>
        </w:rPr>
        <w:t>«</w:t>
      </w:r>
      <w:r w:rsidR="00060BC5" w:rsidRPr="00F07EA9">
        <w:rPr>
          <w:rFonts w:eastAsiaTheme="minorHAnsi"/>
          <w:sz w:val="20"/>
          <w:szCs w:val="28"/>
          <w:lang w:eastAsia="en-US"/>
        </w:rPr>
        <w:t>Муниципальный округ</w:t>
      </w:r>
    </w:p>
    <w:p w:rsidR="00060BC5" w:rsidRPr="00F07EA9" w:rsidRDefault="00060BC5" w:rsidP="00060BC5">
      <w:pPr>
        <w:autoSpaceDE w:val="0"/>
        <w:autoSpaceDN w:val="0"/>
        <w:adjustRightInd w:val="0"/>
        <w:jc w:val="right"/>
        <w:rPr>
          <w:rFonts w:eastAsiaTheme="minorHAnsi"/>
          <w:sz w:val="20"/>
          <w:szCs w:val="28"/>
          <w:lang w:eastAsia="en-US"/>
        </w:rPr>
      </w:pPr>
      <w:r w:rsidRPr="00F07EA9">
        <w:rPr>
          <w:rFonts w:eastAsiaTheme="minorHAnsi"/>
          <w:sz w:val="20"/>
          <w:szCs w:val="28"/>
          <w:lang w:eastAsia="en-US"/>
        </w:rPr>
        <w:t>Увинский район</w:t>
      </w:r>
    </w:p>
    <w:p w:rsidR="00060BC5" w:rsidRPr="00F07EA9" w:rsidRDefault="00060BC5" w:rsidP="00060BC5">
      <w:pPr>
        <w:autoSpaceDE w:val="0"/>
        <w:autoSpaceDN w:val="0"/>
        <w:adjustRightInd w:val="0"/>
        <w:jc w:val="right"/>
        <w:rPr>
          <w:rFonts w:eastAsiaTheme="minorHAnsi"/>
          <w:sz w:val="20"/>
          <w:szCs w:val="28"/>
          <w:lang w:eastAsia="en-US"/>
        </w:rPr>
      </w:pPr>
      <w:r w:rsidRPr="00F07EA9">
        <w:rPr>
          <w:rFonts w:eastAsiaTheme="minorHAnsi"/>
          <w:sz w:val="20"/>
          <w:szCs w:val="28"/>
          <w:lang w:eastAsia="en-US"/>
        </w:rPr>
        <w:t>Удмуртской Республики</w:t>
      </w:r>
      <w:r w:rsidR="00591EEB" w:rsidRPr="00F07EA9">
        <w:rPr>
          <w:rFonts w:eastAsiaTheme="minorHAnsi"/>
          <w:sz w:val="20"/>
          <w:szCs w:val="28"/>
          <w:lang w:eastAsia="en-US"/>
        </w:rPr>
        <w:t>»</w:t>
      </w:r>
    </w:p>
    <w:p w:rsidR="00060BC5" w:rsidRPr="00F07EA9" w:rsidRDefault="004D087A" w:rsidP="00060BC5">
      <w:pPr>
        <w:autoSpaceDE w:val="0"/>
        <w:autoSpaceDN w:val="0"/>
        <w:adjustRightInd w:val="0"/>
        <w:jc w:val="right"/>
        <w:rPr>
          <w:rFonts w:eastAsiaTheme="minorHAnsi"/>
          <w:sz w:val="20"/>
          <w:szCs w:val="28"/>
          <w:lang w:eastAsia="en-US"/>
        </w:rPr>
      </w:pPr>
      <w:r w:rsidRPr="00F07EA9">
        <w:rPr>
          <w:rFonts w:eastAsiaTheme="minorHAnsi"/>
          <w:sz w:val="20"/>
          <w:szCs w:val="28"/>
          <w:lang w:eastAsia="en-US"/>
        </w:rPr>
        <w:t>от 2</w:t>
      </w:r>
      <w:r w:rsidR="0036663A" w:rsidRPr="00F07EA9">
        <w:rPr>
          <w:rFonts w:eastAsiaTheme="minorHAnsi"/>
          <w:sz w:val="20"/>
          <w:szCs w:val="28"/>
          <w:lang w:eastAsia="en-US"/>
        </w:rPr>
        <w:t>5</w:t>
      </w:r>
      <w:r w:rsidRPr="00F07EA9">
        <w:rPr>
          <w:rFonts w:eastAsiaTheme="minorHAnsi"/>
          <w:sz w:val="20"/>
          <w:szCs w:val="28"/>
          <w:lang w:eastAsia="en-US"/>
        </w:rPr>
        <w:t>.1</w:t>
      </w:r>
      <w:r w:rsidR="0036663A" w:rsidRPr="00F07EA9">
        <w:rPr>
          <w:rFonts w:eastAsiaTheme="minorHAnsi"/>
          <w:sz w:val="20"/>
          <w:szCs w:val="28"/>
          <w:lang w:eastAsia="en-US"/>
        </w:rPr>
        <w:t>2</w:t>
      </w:r>
      <w:r w:rsidRPr="00F07EA9">
        <w:rPr>
          <w:rFonts w:eastAsiaTheme="minorHAnsi"/>
          <w:sz w:val="20"/>
          <w:szCs w:val="28"/>
          <w:lang w:eastAsia="en-US"/>
        </w:rPr>
        <w:t>.2024 №</w:t>
      </w:r>
      <w:r w:rsidR="00ED4CDB">
        <w:rPr>
          <w:rFonts w:eastAsiaTheme="minorHAnsi"/>
          <w:sz w:val="20"/>
          <w:szCs w:val="28"/>
          <w:lang w:eastAsia="en-US"/>
        </w:rPr>
        <w:t>419</w:t>
      </w:r>
    </w:p>
    <w:p w:rsidR="00060BC5" w:rsidRPr="00F07EA9" w:rsidRDefault="00060BC5" w:rsidP="00060BC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811BB" w:rsidRPr="00814DAA" w:rsidRDefault="002811BB" w:rsidP="002811BB">
      <w:pPr>
        <w:jc w:val="center"/>
        <w:rPr>
          <w:b/>
          <w:bCs/>
        </w:rPr>
      </w:pPr>
      <w:r w:rsidRPr="00814DAA">
        <w:rPr>
          <w:b/>
          <w:bCs/>
        </w:rPr>
        <w:t xml:space="preserve">Местные нормативы градостроительного проектирования </w:t>
      </w:r>
    </w:p>
    <w:p w:rsidR="00060BC5" w:rsidRPr="00814DAA" w:rsidRDefault="002811BB" w:rsidP="002811BB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14DAA">
        <w:rPr>
          <w:b/>
          <w:bCs/>
        </w:rPr>
        <w:t xml:space="preserve">муниципального образования </w:t>
      </w:r>
      <w:r w:rsidR="00591EEB" w:rsidRPr="00814DAA">
        <w:rPr>
          <w:rFonts w:eastAsiaTheme="minorHAnsi"/>
          <w:b/>
          <w:bCs/>
          <w:lang w:eastAsia="en-US"/>
        </w:rPr>
        <w:t>«</w:t>
      </w:r>
      <w:r w:rsidR="00060BC5" w:rsidRPr="00814DAA">
        <w:rPr>
          <w:rFonts w:eastAsiaTheme="minorHAnsi"/>
          <w:b/>
          <w:bCs/>
          <w:lang w:eastAsia="en-US"/>
        </w:rPr>
        <w:t>Муниципальный округ</w:t>
      </w:r>
    </w:p>
    <w:p w:rsidR="00060BC5" w:rsidRPr="00814DAA" w:rsidRDefault="00060BC5" w:rsidP="00060BC5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14DAA">
        <w:rPr>
          <w:rFonts w:eastAsiaTheme="minorHAnsi"/>
          <w:b/>
          <w:bCs/>
          <w:lang w:eastAsia="en-US"/>
        </w:rPr>
        <w:t>Увинский район Удмуртской Республики</w:t>
      </w:r>
      <w:r w:rsidR="00591EEB" w:rsidRPr="00814DAA">
        <w:rPr>
          <w:rFonts w:eastAsiaTheme="minorHAnsi"/>
          <w:b/>
          <w:bCs/>
          <w:lang w:eastAsia="en-US"/>
        </w:rPr>
        <w:t>»</w:t>
      </w:r>
    </w:p>
    <w:p w:rsidR="00591EEB" w:rsidRPr="00814DAA" w:rsidRDefault="00591EEB" w:rsidP="00591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55"/>
      <w:bookmarkEnd w:id="1"/>
    </w:p>
    <w:p w:rsidR="00591EEB" w:rsidRPr="00814DAA" w:rsidRDefault="00591EEB" w:rsidP="00591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Раздел I. </w:t>
      </w:r>
      <w:r w:rsidR="00F07EA9" w:rsidRPr="00814DAA">
        <w:rPr>
          <w:rFonts w:ascii="Times New Roman" w:hAnsi="Times New Roman" w:cs="Times New Roman"/>
          <w:sz w:val="24"/>
          <w:szCs w:val="24"/>
        </w:rPr>
        <w:t>Основная часть. Расчетные показатели минимально</w:t>
      </w:r>
    </w:p>
    <w:p w:rsidR="00591EEB" w:rsidRPr="00814DAA" w:rsidRDefault="00F07EA9" w:rsidP="00591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допустимого уровня обеспеченности объектами местного</w:t>
      </w:r>
    </w:p>
    <w:p w:rsidR="00591EEB" w:rsidRPr="00814DAA" w:rsidRDefault="00F07EA9" w:rsidP="00591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значения и расчетные показатели максимально допустимого уровня территориальной доступности таких объектов для населения муниципального округа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Подготовка нормативов градостроительного проектирования муниципального образования «Муниципальный округ Увинский район Удмуртской Республики» (далее - нормативы) осуществлена на основании Градостроительного </w:t>
      </w:r>
      <w:hyperlink r:id="rId8">
        <w:r w:rsidRPr="00814DAA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9">
        <w:r w:rsidRPr="00814DA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Удмуртской Республики от 06.03.2014 </w:t>
      </w:r>
      <w:r w:rsidR="00F07EA9" w:rsidRPr="00814DAA">
        <w:rPr>
          <w:rFonts w:ascii="Times New Roman" w:hAnsi="Times New Roman" w:cs="Times New Roman"/>
          <w:sz w:val="24"/>
          <w:szCs w:val="24"/>
        </w:rPr>
        <w:t>№</w:t>
      </w:r>
      <w:r w:rsidRPr="00814DAA">
        <w:rPr>
          <w:rFonts w:ascii="Times New Roman" w:hAnsi="Times New Roman" w:cs="Times New Roman"/>
          <w:sz w:val="24"/>
          <w:szCs w:val="24"/>
        </w:rPr>
        <w:t xml:space="preserve"> 3-РЗ «О градостроительной деятельности в Удмуртской Республике» и </w:t>
      </w:r>
      <w:hyperlink r:id="rId10">
        <w:r w:rsidRPr="00814DAA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15.02.2021 </w:t>
      </w:r>
      <w:r w:rsidR="00F07EA9" w:rsidRPr="00814DAA">
        <w:rPr>
          <w:rFonts w:ascii="Times New Roman" w:hAnsi="Times New Roman" w:cs="Times New Roman"/>
          <w:sz w:val="24"/>
          <w:szCs w:val="24"/>
        </w:rPr>
        <w:t>№</w:t>
      </w:r>
      <w:r w:rsidRPr="00814DAA">
        <w:rPr>
          <w:rFonts w:ascii="Times New Roman" w:hAnsi="Times New Roman" w:cs="Times New Roman"/>
          <w:sz w:val="24"/>
          <w:szCs w:val="24"/>
        </w:rPr>
        <w:t xml:space="preserve"> 71.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Норматив</w:t>
      </w:r>
      <w:r w:rsidR="00FA716A">
        <w:rPr>
          <w:rFonts w:ascii="Times New Roman" w:hAnsi="Times New Roman" w:cs="Times New Roman"/>
          <w:sz w:val="24"/>
          <w:szCs w:val="24"/>
        </w:rPr>
        <w:t xml:space="preserve">ы разработаны в соответствии с </w:t>
      </w:r>
      <w:r w:rsidRPr="00814DAA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 в целях реализации полномочий Администрации муниципального образования «Муниципальный округ Увинский район Удмуртской Республики» и включения нормативов в систему нормативных документов, регламентирующих градостроительную деятельность на территории муниципального образования «Муниципальный округ Увинский район Удмуртской Республики» (далее - Увинский район).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Увинского района и расчетных показателей максимально допустимого уровня территориальной доступности таких объектов для населения Увинского района в целях обеспечения благоприятных условий жизнедеятельности населения (далее - совокупность расчетных показателей, расчетные показатели).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Расчетные показатели минимально допустимого уровня обеспеченности объектами местного значения населения Увинского района, устанавливаемые настоящими нормативами, приняты не ниже предельных значений расчетных показателей минимально допустимого уровня обеспеченности, установленных в </w:t>
      </w:r>
      <w:hyperlink r:id="rId11">
        <w:r w:rsidRPr="00814DAA">
          <w:rPr>
            <w:rFonts w:ascii="Times New Roman" w:hAnsi="Times New Roman" w:cs="Times New Roman"/>
            <w:sz w:val="24"/>
            <w:szCs w:val="24"/>
          </w:rPr>
          <w:t>Нормативах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градостроительного проектирования Удмуртской Республики, утвержденных постановлением Правительства Удмуртской Республики от 04.06.2019 </w:t>
      </w:r>
      <w:r w:rsidR="00F07EA9" w:rsidRPr="00814DAA">
        <w:rPr>
          <w:rFonts w:ascii="Times New Roman" w:hAnsi="Times New Roman" w:cs="Times New Roman"/>
          <w:sz w:val="24"/>
          <w:szCs w:val="24"/>
        </w:rPr>
        <w:t>№</w:t>
      </w:r>
      <w:r w:rsidRPr="00814DAA">
        <w:rPr>
          <w:rFonts w:ascii="Times New Roman" w:hAnsi="Times New Roman" w:cs="Times New Roman"/>
          <w:sz w:val="24"/>
          <w:szCs w:val="24"/>
        </w:rPr>
        <w:t xml:space="preserve"> 228 (далее - Нормативы градостроительного проектирования Республики).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Расчетные показатели максимально допустимого уровня территориальной доступности объектов местного значения для населения Увинского района, устанавливаемые настоящими нормативами, приняты не выше предельных значений расчетных показателей максимально допустимого уровня территориальной доступности, установленных в Нормативах градостроительного проектирования Удмуртской Республики.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Нормативы разработаны в соответствии с требованиями законодательства о градостроительной деятельности Российской Федерации и Удмуртской Республики, технических регламентов, нормативных документов, регулирующих градостроительство.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lastRenderedPageBreak/>
        <w:t>Применение настоящих нормативов не заменяет и не исключает применения требований технических регламентов, национальных стандартов, сводов правил, правил и требований, установленных органами государственного контроля (надзора).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Настоящие нормативы устанавливают требования, обязательные для всех субъектов градостроительных отношений, осуществляющих свою деятельность на территории Увинского района Удмуртской Республики, независимо от их организационно-правовой формы.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По расчетным показателям, содержащим указание на рекомендательное применение, допускается отклонение от установленных значений при условии дополнительного обоснования причин и размеров отклонений, в том числе в материалах по обоснованию документов территориального планирования и (или) документации по планировке территории.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 отсутствии расчетных показателей для отдельных объектов следует руководствоваться Нормативами градостроительного проектирования Удмуртской Республики, нормативными правовыми и нормативно-техническими документами Российской Федерации.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2. Перечень объектов местного значения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Объекты местного значения муниципального округа, отображаемые в генеральном плане, определяются в соответствии с требованиями Градостроительного </w:t>
      </w:r>
      <w:hyperlink r:id="rId12">
        <w:r w:rsidRPr="00814DAA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Российской Федерации, и </w:t>
      </w:r>
      <w:hyperlink r:id="rId13">
        <w:r w:rsidRPr="00814DA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Удмуртской Республики от 06.03.2014 </w:t>
      </w:r>
      <w:r w:rsidR="00F07EA9" w:rsidRPr="00814DAA">
        <w:rPr>
          <w:rFonts w:ascii="Times New Roman" w:hAnsi="Times New Roman" w:cs="Times New Roman"/>
          <w:sz w:val="24"/>
          <w:szCs w:val="24"/>
        </w:rPr>
        <w:t>№</w:t>
      </w:r>
      <w:r w:rsidRPr="00814DAA">
        <w:rPr>
          <w:rFonts w:ascii="Times New Roman" w:hAnsi="Times New Roman" w:cs="Times New Roman"/>
          <w:sz w:val="24"/>
          <w:szCs w:val="24"/>
        </w:rPr>
        <w:t xml:space="preserve"> 3-РЗ «О градостроительной деятельности в Удмуртской Республике».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Расчетные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значения, подлежащих отображению в схеме территориального планирования муниципального округа, приведены в соответствующих разделах настоящих нормативов.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3. Функциональное зонирование территории</w:t>
      </w:r>
    </w:p>
    <w:p w:rsidR="00591EEB" w:rsidRPr="00814DAA" w:rsidRDefault="00591EEB" w:rsidP="00591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 территориальном планировании отображаются границы муниципального округа. При подготовке схемы территориального планирования Увинского района функциональное зонирование его территорий не осуществляется в связи с отсутствием в границах муниципального образования межселенных территорий.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Зонирование территории муниципального округа осуществляет с учетом системы формируемых центров обслуживания и зон их влияния.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 целях создания экономически целесообразной ступенчатой системы культурно-бытового обслуживания населения муниципального округа за основу при определении состава объектов обслуживания, размещаемых на территории муниципального округа, принимается периодичность посещения различных объектов. Всего выделяется три уровня периодичности посещения с учетом обеспеченности объектами обслуживания, которые приведены в таблице 3.1.</w:t>
      </w: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3.1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60"/>
      </w:tblGrid>
      <w:tr w:rsidR="00591EEB" w:rsidRPr="00814DAA" w:rsidTr="00591EEB">
        <w:tc>
          <w:tcPr>
            <w:tcW w:w="2211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уровня</w:t>
            </w:r>
          </w:p>
        </w:tc>
        <w:tc>
          <w:tcPr>
            <w:tcW w:w="6860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Нормативные параметры</w:t>
            </w:r>
          </w:p>
        </w:tc>
      </w:tr>
      <w:tr w:rsidR="00591EEB" w:rsidRPr="00814DAA" w:rsidTr="00591EEB">
        <w:tc>
          <w:tcPr>
            <w:tcW w:w="221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Повседневное обслуживание</w:t>
            </w:r>
          </w:p>
        </w:tc>
        <w:tc>
          <w:tcPr>
            <w:tcW w:w="6860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Объекты, посещаемые населением не реже одного раза в неделю, или те, которые должны быть расположены в непосредственной близости к местам проживания и работы населения. Данные объекты должны обслуживать население, проживающее в радиусе пешеходной (транспортной) доступности 10 - 20 минут от них, а также за счет выездных форм</w:t>
            </w:r>
          </w:p>
        </w:tc>
      </w:tr>
      <w:tr w:rsidR="00591EEB" w:rsidRPr="00814DAA" w:rsidTr="00591EEB">
        <w:tc>
          <w:tcPr>
            <w:tcW w:w="221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Периодическое обслуживание</w:t>
            </w:r>
          </w:p>
        </w:tc>
        <w:tc>
          <w:tcPr>
            <w:tcW w:w="6860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Объекты, посещаемые населением не реже одного раза в месяц. На перспективу данные объекты должны размещаться в районном центре, центрах и подцентрах системы расселения и обслуживать население, проживающее в пределах транспортной доступности 30 мин. - 2 ч.</w:t>
            </w:r>
          </w:p>
        </w:tc>
      </w:tr>
      <w:tr w:rsidR="00591EEB" w:rsidRPr="00814DAA" w:rsidTr="00591EEB">
        <w:tc>
          <w:tcPr>
            <w:tcW w:w="221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Эпизодическое обслуживание</w:t>
            </w:r>
          </w:p>
        </w:tc>
        <w:tc>
          <w:tcPr>
            <w:tcW w:w="6860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Объекты, посещаемые населением муниципального округа реже одного раза в месяц. Размещаются в республиканском центре, межрайонных центрах обслуживания. Радиус территориальной доступности - не более 2 ч.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С учетом установленных уровней об</w:t>
      </w:r>
      <w:r w:rsidR="002E528F">
        <w:rPr>
          <w:rFonts w:ascii="Times New Roman" w:hAnsi="Times New Roman" w:cs="Times New Roman"/>
          <w:sz w:val="24"/>
          <w:szCs w:val="24"/>
        </w:rPr>
        <w:t>служивания населения в Увинском</w:t>
      </w:r>
      <w:r w:rsidRPr="00814DAA">
        <w:rPr>
          <w:rFonts w:ascii="Times New Roman" w:hAnsi="Times New Roman" w:cs="Times New Roman"/>
          <w:sz w:val="24"/>
          <w:szCs w:val="24"/>
        </w:rPr>
        <w:t xml:space="preserve"> районе следует формировать многофункциональную систему обслуживания в соответствии с таблицей 3.2.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3.2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60"/>
      </w:tblGrid>
      <w:tr w:rsidR="00591EEB" w:rsidRPr="00814DAA" w:rsidTr="00591EEB">
        <w:tc>
          <w:tcPr>
            <w:tcW w:w="2211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центра обслуживания</w:t>
            </w:r>
          </w:p>
        </w:tc>
        <w:tc>
          <w:tcPr>
            <w:tcW w:w="6860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Нормативные параметры</w:t>
            </w:r>
          </w:p>
        </w:tc>
      </w:tr>
      <w:tr w:rsidR="00591EEB" w:rsidRPr="00814DAA" w:rsidTr="00591EEB">
        <w:tc>
          <w:tcPr>
            <w:tcW w:w="221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Центр муниципального округа (посёлок Ува)</w:t>
            </w:r>
          </w:p>
        </w:tc>
        <w:tc>
          <w:tcPr>
            <w:tcW w:w="6860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Центр должен концентрировать объекты повседневного и периодического обслуживания населения муниципального округа в радиусе транспортной доступности 1,5 - 2 ч.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При превышении этого радиуса следует создавать подцентры обслуживания.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Уровень центра - набор ряда объектов для повседневного и периодического обслуживания населения</w:t>
            </w:r>
          </w:p>
        </w:tc>
      </w:tr>
      <w:tr w:rsidR="00591EEB" w:rsidRPr="00814DAA" w:rsidTr="00591EEB">
        <w:tc>
          <w:tcPr>
            <w:tcW w:w="221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Центр территориального управления</w:t>
            </w:r>
          </w:p>
        </w:tc>
        <w:tc>
          <w:tcPr>
            <w:tcW w:w="6860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Уровень центра - полный набор объектов повседневного обслуживания, расположенных в непосредственной близости к местам проживания и работы населения. Радиус обслуживания - в пределах 10 - 20-минутной пешеходно-транспортной доступности</w:t>
            </w:r>
          </w:p>
        </w:tc>
      </w:tr>
      <w:tr w:rsidR="00591EEB" w:rsidRPr="00814DAA" w:rsidTr="00591EEB">
        <w:tc>
          <w:tcPr>
            <w:tcW w:w="221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Центр территориального отдела</w:t>
            </w:r>
          </w:p>
        </w:tc>
        <w:tc>
          <w:tcPr>
            <w:tcW w:w="6860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Уровень центра - полный набор объектов повседневного обслуживания, расположенных в непосредственной близости к местам проживания и работы населения. Радиус обслуживания - в пределах 10 - 20-минутной пешеходно-транспортной доступности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 функциональном зонировании территории муниципального образования учитываются зоны с особыми условиями использования территорий, из перечня установленных в соответствии с законодательством Российской Федерации: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1) зоны охраны объектов культурного наследия;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2) защитная зона объекта культурного наследия;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3) 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4) придорожные полосы автомобильных дорог;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5) охранная зона трубопроводов (газопроводов, нефтепроводов и нефтепродуктопроводов, аммиакопроводов);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6) охранная зона линий и сооружений связи;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7) зона охраняемого объекта;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8)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lastRenderedPageBreak/>
        <w:t>9) водоохранная (рыбоохранная) зона;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10) прибрежная защитная полоса;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11) округ санитарной (горно-санитарной) охраны лечебно-оздоровительных местностей, курортов и природных лечебных ресурсов;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12) зоны санитарной охраны источников питьевого и хозяйственно-бытового водоснабжения, а также устанавливаемые в случаях, предусмотренных Водным </w:t>
      </w:r>
      <w:hyperlink r:id="rId14">
        <w:r w:rsidRPr="00814DA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Российской Федерации, в отношении подземных водных объектов зоны специальной охраны;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13) зоны затопления и подтопления;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14) санитарно-защитная зона;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15) охранная зона пунктов государственной геодезической сети, государственной нивелирной сети и государственной гравиметрической сети;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16) зона наблюдения;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17) зона безопасности с особым правовым режимом;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18) рыбохозяйственная заповедная зона;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19) зона минимальных расстояний до магистральных или промышленных трубопроводов (газопроводов, нефтепроводов и нефтепродуктопроводов, аммиакопроводов);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20) охранная зона тепловых сетей.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Границы зон с особыми условиями использования территорий, в том числе границы территорий объектов культурного наследия, устанавливаемые в соответствии с законодательством Российской Федерации, могут не совпадать с границами функциональных зон, установленных на территорий муниципального округа.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Перспективы развития Увинского района Удмуртской Республики</w:t>
      </w:r>
      <w:r w:rsidR="00F07EA9" w:rsidRPr="00814DAA">
        <w:rPr>
          <w:rFonts w:ascii="Times New Roman" w:hAnsi="Times New Roman" w:cs="Times New Roman"/>
          <w:sz w:val="24"/>
          <w:szCs w:val="24"/>
        </w:rPr>
        <w:t xml:space="preserve"> определяются</w:t>
      </w:r>
      <w:r w:rsidRPr="00814DAA">
        <w:rPr>
          <w:rFonts w:ascii="Times New Roman" w:hAnsi="Times New Roman" w:cs="Times New Roman"/>
          <w:sz w:val="24"/>
          <w:szCs w:val="24"/>
        </w:rPr>
        <w:t xml:space="preserve"> в документах территориального планирования (схеме территориального планирования муниципального округа, генеральных планах) с учетом потребности в резервных территориях.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 составлении баланса существующего и проектного использования территорий следует учитывать резервные территории.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сооружениями, функциональное назначение которых не соответствует утвержденным документам территориального планирования.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Включение земельных участков в состав резервных территорий не влечет прекращения или изменения прав на такие земельные участки у их правообладателей до изъятия этих земельных участков для государственных или муниципальных нужд в порядке, установленном законодательством.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F07E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4. Расчетные показатели объектов местного значения</w:t>
      </w:r>
      <w:r w:rsidR="00F07EA9" w:rsidRPr="00814DAA">
        <w:rPr>
          <w:rFonts w:ascii="Times New Roman" w:hAnsi="Times New Roman" w:cs="Times New Roman"/>
          <w:sz w:val="24"/>
          <w:szCs w:val="24"/>
        </w:rPr>
        <w:t xml:space="preserve"> </w:t>
      </w:r>
      <w:r w:rsidRPr="00814DAA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Объекты инженерной инфраструктуры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Объекты инженерной инфраструктуры подразделяются на следующие типы: объекты водоснабжения, объекты водоотведения сточных вод, поверхностных сточных вод и дренажных вод, объекты тепло-, энергоснабжения, объекты электроснабжения, объекты газоснабжения, связи, радиовещания и телевидения, пожарной и охранной сигнализации.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Объекты инженерной инфраструктуры каждого типа подразделяются на линейные объекты и сооружения.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Инженерные системы следует рассчитывать исходя из соответствующих нормативов расчетной плотности населения, принятой на расчетный срок, удельного среднесуточного норматива потребления и общей площади жилой застройки, определяемой документацией.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Инженерные сети следует размещать преимущественно в пределах поперечных профилей улиц и дорог: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под тротуарами или разделительными полосами - инженерные сети в коллекторах, каналах или тоннелях;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lastRenderedPageBreak/>
        <w:t>- в разделительных полосах - тепловые сети, водопровод, газопровод, хозяйственную и дождевую канализацию.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На полосе между красной линией и линией застройки следует размещать газовые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сети низкого давления и кабельные сети (силовые, связи, сигнализации и диспетчеризации).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Применение открытых водоотводящих устройств - канав, кюветов, лотков допускается в районах одно-, двухэтажной застройки, а также на территории парков с устройством мостиков или труб на пересечении с улицами, дорогами, проездами и тротуарами.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Охранные зоны наземных и надземных инженерных коммуникаций (трубопроводов) и сооружений устанавливаются по обе стороны от наружной стенки трубы или конструкции линейного объекта и ограждения сооружения на поверхность участка земли и воздушного пространства на высоту, соответствующую высоте конструкции.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Охранная зона вдоль воздушных линий электропередачи (ВЛ) устанавливается в виде воздушного пространства над землей, ограниченного параллельными вертикальными плоскостями, отстоящими по обе стороны линии на расстояние от крайних проводов по горизонтали в зависимости от проектного номинального класса напряжения.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Охранная зона вдоль подземных кабельных линий электропередачи устанавливается в виде участка земли, ограниченного параллельными вертикальными плоскостями, отстоящими по обе стороны линии на расстоянии по горизонтали 1 м от крайних кабелей.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Охранные зоны инженерных коммуникаций и сооружений, порядок и условия использования территории в их границах устанавливаются соответствующими правилами охраны.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Условия и правила использования территории зоны санитарной охраны сооружений и санитарно-защитных полос линейных объектов системы водоснабжения определяются федеральным законодательством в области охраны источников питьевого водоснабжения.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Размещение подземных инженерных коммуникаций по отношению к зданиям, сооружениям, зеленым насаждениям и их взаимное расположение должны исключать возможность подмыва оснований фундаментов зданий и сооружений, повреждения близко расположенных сетей и зеленых насаждений, а также обеспечивать возможность ремонта сетей без затруднений для движения городского транспорта.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Расстояния по горизонтали от крайних проводов вновь сооружаемых ВЛ при не отклоненном их положении до границ земельных участков жилых и общественных зданий, до детских игровых площадок, площадок отдыха и занятий физкультурой, хозяйственных площадок или до ближайших выступающих частей жилых и общественных зданий при отсутствии земельных участков со стороны прохождения ВЛ, а также до границ приусадебных земельных участков индивидуальных домов и коллективных садовых участков должны быть не менее расстояний для охранных зон ВЛ соответствующих напряжений.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Прохождение ВЛ над зданиями и сооружениями, не допускается.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Прохождение ВЛ по территориям стадионов, учебных и детских учреждений не допускается.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 охранной зоне и зоне санитарной охраны (санитарно-защитной полосе) инженерных коммуникаций и сооружений без согласования с их правообладателем, а также органами, осуществляющими контроль и надзор за состоянием, содержанием и эксплуатацией объектов инженерной инфраструктуры, запрещается размещать объекты капитального и некапитального строительства (в том числе плоскостные - открытые стоянки автотранспорта, спортивные и детские площадки, площадки для отдыха и т.п.), осуществлять работы по благоустройству, озеленению и вертикальной планировке территории без проведения мероприятий, направленных на защиту и обеспечение условий безопасного функционирования объектов инженерной инфраструктуры.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Земельные участки, которые включены в состав охранных зон инженерных коммуникаций, санитарно-защитных полос и зон санитарной охраны, у собственников земельных участков, землепользователей, землевладельцев и арендаторов земельных участков не изымаются, но в их границах может быть введен особый режим их </w:t>
      </w:r>
      <w:r w:rsidRPr="00814DAA">
        <w:rPr>
          <w:rFonts w:ascii="Times New Roman" w:hAnsi="Times New Roman" w:cs="Times New Roman"/>
          <w:sz w:val="24"/>
          <w:szCs w:val="24"/>
        </w:rPr>
        <w:lastRenderedPageBreak/>
        <w:t>использования, ограничивающий или запрещающий те виды деятельности, которые несовместимы с целями установления зон.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Комплексы водопроводных сооружений для подготовки и хранения питьевой воды (станции водоподготовки (СВ), водозаборные узлы поверхностной и подземной воды, водорегулирующие узлы) размещаются на специально выделенных для целей водоснабжения территориях зон инженерной инфраструктуры, вне территории промышленных предприятий или жилой застройки, за границей санитарно-защитных зон объектов производственно-коммунального назначения.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Линейные объекты системы водоснабжения (водопроводные сети) размещаются подземно.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 проектировании линейных объектов системы водоснабжения следует руководствоваться СП 31.13330.2012 «Свод правил. Водоснабжение. Наружные сети и сооружения. Актуализированная редакция СНиП 2.04.02-84».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Снабжение зданий с постоянным и временным пребыванием людей питьевой водой должно быть предусмотрено от централизованной сети водоснабжения. В районах без централизованных инженерных сетей для зданий до 3 этажей, а также павильонов (с требуемым наличием источника водоснабжения) допускается предусматривать индивидуальные и коллективные источники водоснабжения из подземных водоносных горизонтов или из водоемов из расчета суточного расхода хозяйственно-питьевой воды не менее 60 л на человека.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Соединение сетей хозяйственно-питьевого водопровода с сетями водопроводов, подающих воду не питьевого качества, не допускается.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Источники водоснабжения, водопроводные сооружения (водозаборные, водоподготовки и водопроводные станции), а также водоводы должны иметь зоны санитарной охраны, санитарно-защитные полосы в соответствие с требованиями </w:t>
      </w:r>
      <w:hyperlink r:id="rId15">
        <w:r w:rsidRPr="00814DAA">
          <w:rPr>
            <w:rFonts w:ascii="Times New Roman" w:hAnsi="Times New Roman" w:cs="Times New Roman"/>
            <w:sz w:val="24"/>
            <w:szCs w:val="24"/>
          </w:rPr>
          <w:t>СанПиН 2.1.4.1110-02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«Зоны санитарной охраны источников водоснабжения и водопроводов питьевого назначения».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Противопожарный водопровод допускается объединять с хозяйственно-питьевым или производственным водопроводом.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К источникам наружного противопожарного водоснабжения относятся: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наружные водопроводные сети с пожарными гидрантами;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водные объекты, используемые для целей пожаротушения в соответствии с законодательством Российской Федерации.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Противопожарный водопровод должен предусматриваться в соответствии с требованиями Федерального </w:t>
      </w:r>
      <w:hyperlink r:id="rId16">
        <w:r w:rsidRPr="00814DA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от 22.07.2008 </w:t>
      </w:r>
      <w:r w:rsidR="00F07EA9" w:rsidRPr="00814DAA">
        <w:rPr>
          <w:rFonts w:ascii="Times New Roman" w:hAnsi="Times New Roman" w:cs="Times New Roman"/>
          <w:sz w:val="24"/>
          <w:szCs w:val="24"/>
        </w:rPr>
        <w:t>№</w:t>
      </w:r>
      <w:r w:rsidRPr="00814DAA">
        <w:rPr>
          <w:rFonts w:ascii="Times New Roman" w:hAnsi="Times New Roman" w:cs="Times New Roman"/>
          <w:sz w:val="24"/>
          <w:szCs w:val="24"/>
        </w:rPr>
        <w:t xml:space="preserve"> 123-ФЗ «Технический регламент о требованиях пожарной безопасности».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 проектировании системы наружного противопожарного водоснабжения следует руководствоваться СП 8.13130.2009 «Свод правил. Системы противопожарной защиты. Источники наружного противопожарного водоснабжения. Требования пожарной безопасности».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Допускается предусматривать в качестве источников наружного противопожарного водоснабжения природные или искусственные водоемы.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Расход воды на наружное пожаротушение зданий любого функционального назначения, отдельно стоящих производственных зданий, сооружений и иных объектов из водопроводной сети принимается в соответствии с Федеральным </w:t>
      </w:r>
      <w:hyperlink r:id="rId17">
        <w:r w:rsidRPr="00814DA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от 22.07.2008 </w:t>
      </w:r>
      <w:r w:rsidR="00F07EA9" w:rsidRPr="00814DAA">
        <w:rPr>
          <w:rFonts w:ascii="Times New Roman" w:hAnsi="Times New Roman" w:cs="Times New Roman"/>
          <w:sz w:val="24"/>
          <w:szCs w:val="24"/>
        </w:rPr>
        <w:t>№</w:t>
      </w:r>
      <w:r w:rsidRPr="00814DAA">
        <w:rPr>
          <w:rFonts w:ascii="Times New Roman" w:hAnsi="Times New Roman" w:cs="Times New Roman"/>
          <w:sz w:val="24"/>
          <w:szCs w:val="24"/>
        </w:rPr>
        <w:t xml:space="preserve"> 123-ФЗ «Технический регламент о требованиях пожарной безопасности».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Установку пожарных гидрантов следует предусматривать вдоль автомобильных дорог на расстоянии не более 2,5 м от края проезжей части, но не менее 5 м от стен зданий, пожарные гидранты допускается располагать на проезжей части. При этом установка пожарных гидрантов на ответвлении от линии водопровода не допускается.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Удельное водопотребление включает расходы воды на хозяйственно-питьевые нужды в жилых и общественных зданиях, нужды местной промышленности, полив улиц и зеленых насаждений.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Выбор источника водоснабжения должен быть обоснован результатами </w:t>
      </w:r>
      <w:r w:rsidRPr="00814DAA">
        <w:rPr>
          <w:rFonts w:ascii="Times New Roman" w:hAnsi="Times New Roman" w:cs="Times New Roman"/>
          <w:sz w:val="24"/>
          <w:szCs w:val="24"/>
        </w:rPr>
        <w:lastRenderedPageBreak/>
        <w:t>топографических, гидрологических, гидрогеологических, ихтиологических, гидрохимических, гидробиологических, гидротермических и других изысканий и санитарных обследований.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 качестве источника водоснабжения следует рассматривать водотоки (реки, каналы), водоемы (озера, водохранилища, пруды), подземные воды (водоносные пласты, подрусловые и другие воды).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Для хозяйственно-питьевых водопроводов должны максимально использоваться имеющиеся ресурсы подземных вод (в том числе пополняемых источников), удовлетворяющих санитарно-гигиеническим требованиям.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Для производственного водоснабжения промышленных предприятий следует рассматривать возможность использования очищенных сточных вод.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Выбор схем и систем водоснабжения следует осуществлять в соответствии с требованиями СП 31.13330.2012 «СНиП 2.04.02-84* Водоснабжение. Наружные сети и сооружения». Системы водоснабжения могут быть централизованными, нецентрализованными, локальными, оборотными.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Водопроводные сети проектируются кольцевыми.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Кольцевание наружных водопроводных сетей внутренними водопроводными сетями зданий и сооружений не допускается.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Водопроводные сооружения должны иметь ограждения.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Для площадок станций водоподготовки, насосных станций, резервуаров и водонапорных башен с зонами санитарной охраны первого пояса следует принимать глухое ограждение высотой 2,5 м. Допускается предусматривать ограждение на высоту 2 м - глухое и на 0,5 м - из колючей проволоки или металлической сетки, при этом во всех случаях должна предусматриваться колючая проволока в 4-5 нитей на кронштейнах с внутренней стороны ограждения.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Примыкание к ограждению строений, кроме проходных и административно-бытовых зданий, не допускается.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Очистные сооружения размещаются на территории зоны объектов инженерной инфраструктуры, определенных в градостроительной документации, или производственной зоны.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Все объекты жилищно-гражданского, производственного назначения, как правило, должны быть обеспечены централизованным системами канализации.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 проектировании канализации необходимо рассматривать возможность объединения систем канализации различных объектов, а также предусматривать возможность использования существующих сооружений и интенсификацию их работы на основании технико-экономических расчетов.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Очистные сооружения хозяйственно-бытовой канализации являются отдельно стоящими подземно-надземными сооружениями.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Проекты канализации населенных пунктов должны разрабатываться одновременно с проектами водоснабжения с обязательным анализом баланса водопотребления и отведения сточных вод. При этом необходимо рассматривать возможность использования очищенных сточных, дождевых вод для производственного водоснабжения и полива.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КНС сооружают в тех случаях, когда рельеф местности не позволяет отводить сточные воды самотеком к очистным сооружениям.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Очистные сооружения производственной и дождевой канализации следует, как правило, размещать на территории промышленных предприятий.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Площадки под КНС следует резервировать, как правило, в самых пониженных точках местности на незатопляемой территории.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застройке, ниже по течению водотока.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Выбор площадок для строительства сооружений канализации, планировку, застройку и благоустройство их территорий следует выполнять в соответствии с технологическими требованиями и действующей нормативной документацией.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lastRenderedPageBreak/>
        <w:t>Линейные объекты системы водоотведения сточных вод (канализационные напорные и самотечные трубопроводы) по местоположению относительно земной поверхности могут размещаться только подземно.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Надземная и наземная прокладка канализационных трубопроводов не допускается.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Автомобильные дороги местного значения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Зоны размещения автомобильных дорог местного значения вне границ населенных пунктов в границах муниципального округа определяются на основании документов территориального планирования Удмуртской Республики и Увинского района.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Категории автомобильных дорог местного значения вне границ населенных пунктов в границах муниципального округа в зависимости от их назначения, расчетной интенсивности движения и их значения приведены в таблице 4.2.1.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4.2.1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2948"/>
        <w:gridCol w:w="4195"/>
      </w:tblGrid>
      <w:tr w:rsidR="00591EEB" w:rsidRPr="00814DAA" w:rsidTr="00591EEB">
        <w:tc>
          <w:tcPr>
            <w:tcW w:w="1928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Категория автомобильной дороги</w:t>
            </w:r>
          </w:p>
        </w:tc>
        <w:tc>
          <w:tcPr>
            <w:tcW w:w="2948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19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Расчетная интенсивность движения, приведенных единиц/сутки</w:t>
            </w:r>
          </w:p>
        </w:tc>
      </w:tr>
      <w:tr w:rsidR="00591EEB" w:rsidRPr="00814DAA" w:rsidTr="00591EEB">
        <w:tc>
          <w:tcPr>
            <w:tcW w:w="1928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948" w:type="dxa"/>
            <w:vMerge w:val="restart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обычная автомобильная дорога</w:t>
            </w:r>
          </w:p>
        </w:tc>
        <w:tc>
          <w:tcPr>
            <w:tcW w:w="419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200 до 2 000</w:t>
            </w:r>
          </w:p>
        </w:tc>
      </w:tr>
      <w:tr w:rsidR="00591EEB" w:rsidRPr="00814DAA" w:rsidTr="00591EEB">
        <w:tc>
          <w:tcPr>
            <w:tcW w:w="1928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948" w:type="dxa"/>
            <w:vMerge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Пропускную способность сети дорог, улиц и транспортных пересечений следует определять исходя из расчетного уровня автомобилизации на расчетный срок, приведенного в таблице 4.2.2.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4.2.2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3458"/>
      </w:tblGrid>
      <w:tr w:rsidR="00591EEB" w:rsidRPr="00814DAA" w:rsidTr="00591EEB">
        <w:tc>
          <w:tcPr>
            <w:tcW w:w="5613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58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Минимальные расчетные показатели, единиц/1000 чел.</w:t>
            </w:r>
          </w:p>
        </w:tc>
      </w:tr>
      <w:tr w:rsidR="00591EEB" w:rsidRPr="00814DAA" w:rsidTr="00591EEB">
        <w:tc>
          <w:tcPr>
            <w:tcW w:w="5613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Количество легковых автомобилей,</w:t>
            </w:r>
          </w:p>
        </w:tc>
        <w:tc>
          <w:tcPr>
            <w:tcW w:w="3458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591EEB" w:rsidRPr="00814DAA" w:rsidTr="00591EEB">
        <w:tc>
          <w:tcPr>
            <w:tcW w:w="5613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в том числе в личной собственности граждан</w:t>
            </w:r>
          </w:p>
        </w:tc>
        <w:tc>
          <w:tcPr>
            <w:tcW w:w="3458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591EEB" w:rsidRPr="00814DAA" w:rsidTr="00591EEB">
        <w:tc>
          <w:tcPr>
            <w:tcW w:w="5613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Количество автобусов</w:t>
            </w:r>
          </w:p>
        </w:tc>
        <w:tc>
          <w:tcPr>
            <w:tcW w:w="3458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1EEB" w:rsidRPr="00814DAA" w:rsidTr="00591EEB">
        <w:tc>
          <w:tcPr>
            <w:tcW w:w="5613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Количество грузовых автомобилей</w:t>
            </w:r>
          </w:p>
        </w:tc>
        <w:tc>
          <w:tcPr>
            <w:tcW w:w="3458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91EEB" w:rsidRPr="00814DAA" w:rsidTr="00591EEB">
        <w:tc>
          <w:tcPr>
            <w:tcW w:w="5613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Количество мотоциклов и мопедов</w:t>
            </w:r>
          </w:p>
        </w:tc>
        <w:tc>
          <w:tcPr>
            <w:tcW w:w="3458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Примечания: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1. Указанный уровень автомобилизации допускается увеличивать в зависимости от особенностей градостроительной ситуации, но не более чем на 20%.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2. Количество автомобилей, прибывающих в населенный пункт из других населенных пунктов Удмуртской Республики, и транзитных автомобилей определяется специальным расчетом.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Для расчета пропускной способности (интенсивности движения) при движении по уличной сети смешанного потока различные виды транспорта следует приводить к одному расчетному виду. Коэффициенты приведения интенсивности движения различных транспортных средств к легковому автомобилю следует принимать по таблице 4.2.3.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lastRenderedPageBreak/>
        <w:t>Таблица 4.2.3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1871"/>
      </w:tblGrid>
      <w:tr w:rsidR="00591EEB" w:rsidRPr="00814DAA" w:rsidTr="00591EEB"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Типы транспортных средств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single" w:sz="4" w:space="0" w:color="auto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Легковые автомобили, мотоциклы, микроавтобусы</w:t>
            </w: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Грузовые автомобили грузоподъемностью: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до 2 т включительно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2 т до 6 т включительно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6 т до 8 т включительно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8 т до 14 т включительно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14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Автопоезда грузоподъемностью: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до 12 т включительно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12 т до 20 т включительно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20 т до 30 т включительно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30 т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Автобусы: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малой вместимости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средней вместимости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91EEB" w:rsidRPr="00814DAA" w:rsidTr="00591EEB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single" w:sz="4" w:space="0" w:color="auto"/>
            </w:tcBorders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большой вместимости</w:t>
            </w: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Примечание: коэффициенты приведения для специальных автомобилей следует принимать как для базовых автомобилей соответствующей грузоподъемности.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Полосы отвода автомобильных дорог местного значения следует проектировать в соответствии с требованиями Федерального </w:t>
      </w:r>
      <w:hyperlink r:id="rId18">
        <w:r w:rsidRPr="00814DA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от 08.11.2007 </w:t>
      </w:r>
      <w:r w:rsidR="00F07EA9" w:rsidRPr="00814DAA">
        <w:rPr>
          <w:rFonts w:ascii="Times New Roman" w:hAnsi="Times New Roman" w:cs="Times New Roman"/>
          <w:sz w:val="24"/>
          <w:szCs w:val="24"/>
        </w:rPr>
        <w:t>№</w:t>
      </w:r>
      <w:r w:rsidRPr="00814DAA">
        <w:rPr>
          <w:rFonts w:ascii="Times New Roman" w:hAnsi="Times New Roman" w:cs="Times New Roman"/>
          <w:sz w:val="24"/>
          <w:szCs w:val="24"/>
        </w:rPr>
        <w:t xml:space="preserve">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приведенными в таблице 4.2.4.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4.2.4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Наименования параметров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</w:t>
            </w:r>
          </w:p>
        </w:tc>
      </w:tr>
      <w:tr w:rsidR="00591EEB" w:rsidRPr="00814DAA" w:rsidTr="00591EEB">
        <w:tc>
          <w:tcPr>
            <w:tcW w:w="4535" w:type="dxa"/>
          </w:tcPr>
          <w:p w:rsidR="00591EEB" w:rsidRPr="00CC2993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Границы полосы отвода автомобильной дороги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Определяются на основании документации по планировке территории</w:t>
            </w:r>
          </w:p>
        </w:tc>
      </w:tr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Порядок установления и использования полос отвода автомобильных дорог местного значения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Органом местного самоуправления Увинского района Удмуртской Республики</w:t>
            </w:r>
          </w:p>
        </w:tc>
      </w:tr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Ширина полос и размеры участков земель, отводимых для автомобильных дорог и </w:t>
            </w:r>
            <w:r w:rsidRPr="00814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транспортных развязок движения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требованиями </w:t>
            </w:r>
            <w:hyperlink r:id="rId19">
              <w:r w:rsidRPr="00814DAA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</w:t>
            </w:r>
            <w:r w:rsidRPr="00814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 от 02.09.2009 </w:t>
            </w:r>
            <w:r w:rsidR="00F07EA9" w:rsidRPr="00814DA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 717 «О нормах отвода земель для размещения автомобильных дорог и (или) объектов дорожного сервиса»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Расчетные показатели градостроительного проектирования мостовых сооружений (мостов, эстакад, галерей, труб, путепроводов) приведены в таблице 4.2.5.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4.2.5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Нормативные параметры и расчетные показатели мостовых сооружений (мостов, эстакад, галерей, труб, путепроводов)</w:t>
            </w:r>
          </w:p>
        </w:tc>
      </w:tr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Выбор трассы и места размещения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СП 35.13330.2011</w:t>
            </w:r>
          </w:p>
        </w:tc>
      </w:tr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Габариты приближения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ГОСТ Р 52748-2007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Объекты образования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Расчетные показатели минимально допустимого уровня обеспеченности объектами и максимально допустимого уровня территориальной доступности объектов в области образования для Увинского района приведены в таблице 4.3.1.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4.3.1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005"/>
        <w:gridCol w:w="3231"/>
      </w:tblGrid>
      <w:tr w:rsidR="00591EEB" w:rsidRPr="00814DAA" w:rsidTr="00591EEB">
        <w:tc>
          <w:tcPr>
            <w:tcW w:w="283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00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31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591EEB" w:rsidRPr="00814DAA" w:rsidTr="00591EEB">
        <w:tc>
          <w:tcPr>
            <w:tcW w:w="28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300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не менее 57 мест на 1000 жителей</w:t>
            </w:r>
          </w:p>
        </w:tc>
        <w:tc>
          <w:tcPr>
            <w:tcW w:w="323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15 минут транспортной доступности</w:t>
            </w:r>
          </w:p>
        </w:tc>
      </w:tr>
      <w:tr w:rsidR="00591EEB" w:rsidRPr="00814DAA" w:rsidTr="00591EEB">
        <w:tc>
          <w:tcPr>
            <w:tcW w:w="28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300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не менее 125 мест на 1000 жителей, в том числе 17 для X - XI классов</w:t>
            </w:r>
          </w:p>
        </w:tc>
        <w:tc>
          <w:tcPr>
            <w:tcW w:w="323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для обучающихся I ступени не более 2 км пешеходной доступности.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Для обучающихся II и III не более 4 км транспортной доступности &lt;*&gt;</w:t>
            </w:r>
          </w:p>
        </w:tc>
      </w:tr>
      <w:tr w:rsidR="00591EEB" w:rsidRPr="00814DAA" w:rsidTr="00591EEB">
        <w:tc>
          <w:tcPr>
            <w:tcW w:w="28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 го образования</w:t>
            </w:r>
          </w:p>
        </w:tc>
        <w:tc>
          <w:tcPr>
            <w:tcW w:w="300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 по демографии не менее 10% от общего числа школьников</w:t>
            </w:r>
          </w:p>
        </w:tc>
        <w:tc>
          <w:tcPr>
            <w:tcW w:w="323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4.3.2. Согласно </w:t>
      </w:r>
      <w:hyperlink r:id="rId20">
        <w:r w:rsidRPr="00814DAA">
          <w:rPr>
            <w:rFonts w:ascii="Times New Roman" w:hAnsi="Times New Roman" w:cs="Times New Roman"/>
            <w:sz w:val="24"/>
            <w:szCs w:val="24"/>
          </w:rPr>
          <w:t>СанПин 2.4.2.2821-10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при организации дошкольного и школьного обслуживания в сельской местности необходимо предусматривать систему подвоза детей. Транспортному обслуживанию подлежат учащиеся общеобразовательных учреждений, </w:t>
      </w:r>
      <w:r w:rsidRPr="00814DAA">
        <w:rPr>
          <w:rFonts w:ascii="Times New Roman" w:hAnsi="Times New Roman" w:cs="Times New Roman"/>
          <w:sz w:val="24"/>
          <w:szCs w:val="24"/>
        </w:rPr>
        <w:lastRenderedPageBreak/>
        <w:t>проживающие на расстоянии свыше 2 - 4 км от учреждения. Подвоз учащихся осуществляется на транспорте, предназначенном для перевозки детей. Время пути не должно превышать 30 минут в одну сторону.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Оптимальный пешеходный подход обучающихся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Остановка транспорта оборудуется навесом, огражденным с трех сторон, защищена барьером от проезжей части дороги, имеет твердое покрытие и обзорность не менее 250 м со стороны дороги.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Объекты здравоохранения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Расчетные показатели минимально допустимого уровня обеспеченности объектами и максимально допустимого уровня территориальной доступности объектов в области здравоохранения для Увинского района приведены в таблице 4.4.1.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4.4.1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3175"/>
      </w:tblGrid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Амбулаторно-поликлинические учреждения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проектирование, определяемому органами здравоохранения, но не менее 18,15 посещений в смену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40 минут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Фельдшерско-акушерские пункты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 на 0,7 тыс. жителей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Станции (подстанции) скорой помощи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 автомобиль на 3 тыс. жителей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доступности на автомобиле, оборудованном специальными внешними световыми приборами и звуковыми сигналами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проектирование, определяемому органами здравоохранения, но не менее 13,47 коек/1000 чел.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hyperlink r:id="rId21">
              <w:r w:rsidRPr="00814DAA">
                <w:rPr>
                  <w:rFonts w:ascii="Times New Roman" w:hAnsi="Times New Roman" w:cs="Times New Roman"/>
                  <w:sz w:val="24"/>
                  <w:szCs w:val="24"/>
                </w:rPr>
                <w:t>Нормативами</w:t>
              </w:r>
            </w:hyperlink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проектирования по Удмуртской Республике, утвержденными постановлением Удмуртской Республики от 04.06.2019 </w:t>
            </w:r>
            <w:r w:rsidR="00F07EA9" w:rsidRPr="00814DA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 228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0DBA" w:rsidRPr="00CC2993" w:rsidRDefault="00D80DBA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80DBA" w:rsidRPr="00CC2993" w:rsidRDefault="00D80DBA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80DBA" w:rsidRPr="00CC2993" w:rsidRDefault="00D80DBA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lastRenderedPageBreak/>
        <w:t>Объекты физической культуры и массового спорта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4.5.1. Расчетные показатели минимально допустимого уровня обеспеченности и максимально допустимого уровня территориальной доступности объектами в физической культуры, спорта и культуры для населения Увинского района приведены в таблице 4.5.1.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4.5.1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3175"/>
      </w:tblGrid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7000 кв. м на 1000 жителей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40 минут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60 кв. м на 1000 жителей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Объекты культуры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Расчетные показатели минимально допустимого уровня обеспеченности и максимально допустимого уровня территориальной доступности объектами культуры для населения Увинского района приведены в таблице 4.6.1.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4.6.1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3175"/>
      </w:tblGrid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F07EA9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Районная </w:t>
            </w:r>
            <w:r w:rsidR="00591EEB" w:rsidRPr="00814DA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 библиотека на административный центр района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- 1 час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 библиотека на административный центр района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- 1 час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Районный Дом ремесел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30 минут транспортной </w:t>
            </w:r>
            <w:r w:rsidRPr="00814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Районный методический центр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Дом культуры, сельский клуб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 клуб на 1 тыс. жителей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Историко-художественный музей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- 1 час транспортной доступности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Объекты общественного питания торговли</w:t>
      </w: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и бытового обслуживания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4.7.1 Расчетные показатели минимально допустимого уровня обеспеченности и максимально допустимого уровня территориальной доступности объектами общественного питания, торговли и бытового обслуживания для населения Увинского района приведены в таблице 4.7.1.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4.7.1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3175"/>
      </w:tblGrid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Торговые центры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326 кв. м торговой площади на 1000 жителей </w:t>
            </w:r>
            <w:hyperlink w:anchor="P433">
              <w:r w:rsidRPr="00814DAA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Магазин продовольственных товаров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119 кв. м торговой площади на 1000 жителей </w:t>
            </w:r>
            <w:hyperlink w:anchor="P433">
              <w:r w:rsidRPr="00814DAA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15 минут пешеходной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Магазин непродовольственных товаров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 xml:space="preserve">207 кв. м торговой площади на 1000 жителей </w:t>
            </w:r>
            <w:hyperlink w:anchor="P433">
              <w:r w:rsidRPr="00814DAA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пешеходной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Предприятие общественного питания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40 посадочных мест на 1000 жителей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Предприятия бытового обслуживания населения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4 рабочих мест на 1000 жителей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Примечание: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33"/>
      <w:bookmarkEnd w:id="2"/>
      <w:r w:rsidRPr="00814DAA">
        <w:rPr>
          <w:rFonts w:ascii="Times New Roman" w:hAnsi="Times New Roman" w:cs="Times New Roman"/>
          <w:sz w:val="24"/>
          <w:szCs w:val="24"/>
        </w:rPr>
        <w:t xml:space="preserve">&lt;*&gt; В соответствии с </w:t>
      </w:r>
      <w:hyperlink r:id="rId22">
        <w:r w:rsidRPr="00814DAA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Правительства УР от 29.08.2023 </w:t>
      </w:r>
      <w:r w:rsidR="00F07EA9" w:rsidRPr="00814DAA">
        <w:rPr>
          <w:rFonts w:ascii="Times New Roman" w:hAnsi="Times New Roman" w:cs="Times New Roman"/>
          <w:sz w:val="24"/>
          <w:szCs w:val="24"/>
        </w:rPr>
        <w:t>№</w:t>
      </w:r>
      <w:r w:rsidRPr="00814DAA">
        <w:rPr>
          <w:rFonts w:ascii="Times New Roman" w:hAnsi="Times New Roman" w:cs="Times New Roman"/>
          <w:sz w:val="24"/>
          <w:szCs w:val="24"/>
        </w:rPr>
        <w:t xml:space="preserve"> 580 «Об утверждении нормативов минимальной обеспеченности населения Удмуртской Республики площадью торговых объектов».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Объекты размещения, обезвреживания и утилизации твердых</w:t>
      </w: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коммунальных отходов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4.8.1. Расчетные показатели минимально допустимого уровня обеспеченности и максимально допустимого уровня территориальной доступности объектов обработки, утилизации, обезвреживания, размещения отходов приведены в таблице 4.8.1.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4.8.1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3175"/>
      </w:tblGrid>
      <w:tr w:rsidR="00591EEB" w:rsidRPr="00814DAA" w:rsidTr="00591EEB">
        <w:tc>
          <w:tcPr>
            <w:tcW w:w="2721" w:type="dxa"/>
            <w:vMerge w:val="restart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</w:t>
            </w:r>
          </w:p>
        </w:tc>
        <w:tc>
          <w:tcPr>
            <w:tcW w:w="6350" w:type="dxa"/>
            <w:gridSpan w:val="2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</w:t>
            </w:r>
          </w:p>
        </w:tc>
      </w:tr>
      <w:tr w:rsidR="00591EEB" w:rsidRPr="00814DAA" w:rsidTr="00591EEB">
        <w:tc>
          <w:tcPr>
            <w:tcW w:w="2721" w:type="dxa"/>
            <w:vMerge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минимально допустимого уровня обеспеченности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допустимого уровня территориальной доступности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Объекты обработки, утилизации, обезвреживания, размещения отходов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Определяется территориальной схемой обращения с отходами, в том числе с твердыми коммунальными отходами, на территории Удмуртской Республики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Размещение временных площадок для хранения твердых коммунальных отходов на территории Увинского района недопустимо.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Размещение, хранение и утилизацию твердых бытовых отходов необходимо предусматривать на существующий полигон по складированию и захоронению твердых бытовых отходов, расположенный по адресному ориентиру: в 1,8 км юго-восточнее д. Старая Чунча Увинского района.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Объекты защиты населения и охраны общественного порядка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4.9.1 Расчетные показатели минимально допустимого уровня обеспеченности и максимально допустимого уровня территориальной доступности объектами гражданской обороны, защиты населения и охраны общественного порядка для населения Увинского района приведены в таблице 4.9.1.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4.9.1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3175"/>
      </w:tblGrid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591EEB" w:rsidRPr="00814DAA" w:rsidTr="00591EEB">
        <w:tc>
          <w:tcPr>
            <w:tcW w:w="2721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Помещение участкового уполномоченного полиции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1 помещение в муниципальном образовании</w:t>
            </w:r>
          </w:p>
        </w:tc>
        <w:tc>
          <w:tcPr>
            <w:tcW w:w="317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20 минут транспортной доступности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0DBA" w:rsidRDefault="00D80DBA" w:rsidP="00591EE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</w:p>
    <w:p w:rsidR="00D80DBA" w:rsidRDefault="00D80DBA" w:rsidP="00591EE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</w:p>
    <w:p w:rsidR="00591EEB" w:rsidRPr="00D57BAA" w:rsidRDefault="00591EEB" w:rsidP="00591EE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57BAA">
        <w:rPr>
          <w:rFonts w:ascii="Times New Roman" w:hAnsi="Times New Roman" w:cs="Times New Roman"/>
          <w:sz w:val="24"/>
          <w:szCs w:val="24"/>
        </w:rPr>
        <w:lastRenderedPageBreak/>
        <w:t>Объекты велосипедной инфраструктуры</w:t>
      </w:r>
    </w:p>
    <w:p w:rsidR="00591EEB" w:rsidRPr="00D57BAA" w:rsidRDefault="00591EEB" w:rsidP="00591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BAA">
        <w:rPr>
          <w:rFonts w:ascii="Times New Roman" w:hAnsi="Times New Roman" w:cs="Times New Roman"/>
          <w:sz w:val="24"/>
          <w:szCs w:val="24"/>
        </w:rPr>
        <w:t>4.10 Расчетные показатели допустимого уровня обеспеченности объектами велосипедной инфраструктуры представлены в таблицах 4.10.1 и 4.10.2</w:t>
      </w:r>
      <w:r w:rsidRPr="00814D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EEB" w:rsidRPr="00814DAA" w:rsidRDefault="00591EEB" w:rsidP="00591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autoSpaceDE w:val="0"/>
        <w:autoSpaceDN w:val="0"/>
        <w:adjustRightInd w:val="0"/>
        <w:jc w:val="both"/>
      </w:pPr>
      <w:r w:rsidRPr="00814DAA">
        <w:t>Основные характеристики велодорожек, вело</w:t>
      </w:r>
      <w:r w:rsidR="00D80DBA" w:rsidRPr="00D80DBA">
        <w:t>-</w:t>
      </w:r>
      <w:r w:rsidRPr="00814DAA">
        <w:t>пешеходных дорожек представлены в таблице 4.10.1</w:t>
      </w:r>
    </w:p>
    <w:p w:rsidR="00591EEB" w:rsidRPr="00814DAA" w:rsidRDefault="00591EEB" w:rsidP="00591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4.10.1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22"/>
        <w:gridCol w:w="2252"/>
        <w:gridCol w:w="1928"/>
      </w:tblGrid>
      <w:tr w:rsidR="00591EEB" w:rsidRPr="00814DAA" w:rsidTr="00591EE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F07EA9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№</w:t>
            </w:r>
            <w:r w:rsidR="00591EEB" w:rsidRPr="00814DAA">
              <w:t xml:space="preserve"> п/п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Нормируемый параметр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Минимальные значения</w:t>
            </w:r>
          </w:p>
        </w:tc>
      </w:tr>
      <w:tr w:rsidR="00591EEB" w:rsidRPr="00814DAA" w:rsidTr="00591EE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при новом строительстве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в стесненных условиях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4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Расчетная скорость движения, км/ч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15</w:t>
            </w:r>
          </w:p>
        </w:tc>
      </w:tr>
      <w:tr w:rsidR="00591EEB" w:rsidRPr="00814DAA" w:rsidTr="00591EE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Ширина проезжей части для движения, м, не менее: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</w:p>
        </w:tc>
      </w:tr>
      <w:tr w:rsidR="00591EEB" w:rsidRPr="00814DAA" w:rsidTr="00591EE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</w:p>
        </w:tc>
        <w:tc>
          <w:tcPr>
            <w:tcW w:w="4422" w:type="dxa"/>
            <w:tcBorders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однополосного одностороннего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1,0 - 1,5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0,75 - 1,0</w:t>
            </w:r>
          </w:p>
        </w:tc>
      </w:tr>
      <w:tr w:rsidR="00591EEB" w:rsidRPr="00814DAA" w:rsidTr="00591EE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2" w:type="dxa"/>
            <w:tcBorders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двухполосного одностороннего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1,75 - 2,5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1,50</w:t>
            </w:r>
          </w:p>
        </w:tc>
      </w:tr>
      <w:tr w:rsidR="00591EEB" w:rsidRPr="00814DAA" w:rsidTr="00591EE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двухполосного со встречным движением</w:t>
            </w:r>
          </w:p>
        </w:tc>
        <w:tc>
          <w:tcPr>
            <w:tcW w:w="2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2,50 - 3,6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2,00</w:t>
            </w:r>
          </w:p>
        </w:tc>
      </w:tr>
      <w:tr w:rsidR="00591EEB" w:rsidRPr="00814DAA" w:rsidTr="00591EE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Ширина велосипедной и пешеходной дорожки с разделением движения дорожной разметкой, м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 xml:space="preserve">4,0 - 6,0 </w:t>
            </w:r>
            <w:hyperlink w:anchor="Par49" w:history="1">
              <w:r w:rsidRPr="00814DAA">
                <w:t>&lt;*&gt;</w:t>
              </w:r>
            </w:hyperlink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 xml:space="preserve">3,25 </w:t>
            </w:r>
            <w:hyperlink w:anchor="Par50" w:history="1">
              <w:r w:rsidRPr="00814DAA">
                <w:t>&lt;**&gt;</w:t>
              </w:r>
            </w:hyperlink>
          </w:p>
        </w:tc>
      </w:tr>
      <w:tr w:rsidR="00591EEB" w:rsidRPr="00814DAA" w:rsidTr="00591EE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Ширина вело</w:t>
            </w:r>
            <w:r w:rsidR="00D80DBA" w:rsidRPr="00D80DBA">
              <w:t>-</w:t>
            </w:r>
            <w:r w:rsidRPr="00814DAA">
              <w:t>пешеходной дорожки, м</w:t>
            </w:r>
          </w:p>
        </w:tc>
        <w:tc>
          <w:tcPr>
            <w:tcW w:w="2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 xml:space="preserve">2,5 - 3,0 </w:t>
            </w:r>
            <w:hyperlink w:anchor="Par51" w:history="1">
              <w:r w:rsidRPr="00814DAA">
                <w:t>&lt;***&gt;</w:t>
              </w:r>
            </w:hyperlink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 xml:space="preserve">2,0 </w:t>
            </w:r>
            <w:hyperlink w:anchor="Par52" w:history="1">
              <w:r w:rsidRPr="00814DAA">
                <w:t>&lt;****&gt;</w:t>
              </w:r>
            </w:hyperlink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Наибольший продольный уклон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40 - 60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50 - 70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5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Поперечный уклон проезжей части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15 - 20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20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6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Габарит по высоте, м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2,50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2,25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Минимальное расстояние до бокового препятствия, м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0,50 согласно «</w:t>
            </w:r>
            <w:hyperlink r:id="rId23" w:history="1">
              <w:r w:rsidRPr="00814DAA">
                <w:t>СП 396.1325800.2018</w:t>
              </w:r>
            </w:hyperlink>
            <w:r w:rsidRPr="00814DAA">
              <w:t>. Свод правил. Улицы и дороги населенных пунктов. Правила градостроительного проектирования» (далее - СП 396.1325800.2018)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 xml:space="preserve">0,50 согласно </w:t>
            </w:r>
            <w:hyperlink r:id="rId24" w:history="1">
              <w:r w:rsidRPr="00814DAA">
                <w:t>СП 396.1325800.2018</w:t>
              </w:r>
            </w:hyperlink>
          </w:p>
        </w:tc>
      </w:tr>
      <w:tr w:rsidR="00591EEB" w:rsidRPr="00814DAA" w:rsidTr="00591EEB">
        <w:tc>
          <w:tcPr>
            <w:tcW w:w="90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bookmarkStart w:id="3" w:name="Par49"/>
            <w:bookmarkEnd w:id="3"/>
            <w:r w:rsidRPr="00814DAA">
              <w:t>&lt;*&gt; Ширина пешеходной дорожки 1,5 м, велосипедной - 2,5 м.</w:t>
            </w:r>
          </w:p>
        </w:tc>
      </w:tr>
      <w:tr w:rsidR="00591EEB" w:rsidRPr="00814DAA" w:rsidTr="00591EEB">
        <w:tc>
          <w:tcPr>
            <w:tcW w:w="90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bookmarkStart w:id="4" w:name="Par50"/>
            <w:bookmarkEnd w:id="4"/>
            <w:r w:rsidRPr="00814DAA">
              <w:t>&lt;**&gt; Ширина пешеходной дорожки 1,5 м, велосипедной - 1,75 м.</w:t>
            </w:r>
          </w:p>
        </w:tc>
      </w:tr>
      <w:tr w:rsidR="00591EEB" w:rsidRPr="00814DAA" w:rsidTr="00591EEB">
        <w:tc>
          <w:tcPr>
            <w:tcW w:w="90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bookmarkStart w:id="5" w:name="Par51"/>
            <w:bookmarkEnd w:id="5"/>
            <w:r w:rsidRPr="00814DAA">
              <w:t>&lt;***&gt; При интенсивности движения не более 30 вел./ч и 15 пеш./ч.</w:t>
            </w:r>
          </w:p>
        </w:tc>
      </w:tr>
      <w:tr w:rsidR="00591EEB" w:rsidRPr="00814DAA" w:rsidTr="00591EEB">
        <w:tc>
          <w:tcPr>
            <w:tcW w:w="905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bookmarkStart w:id="6" w:name="Par52"/>
            <w:bookmarkEnd w:id="6"/>
            <w:r w:rsidRPr="00814DAA">
              <w:t>&lt;****&gt; При интенсивности движения не более 30 вел./ч и 50 пеш./ч.</w:t>
            </w:r>
          </w:p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 xml:space="preserve">Примечание. Устройство велосипедных дорожек и велопешеходных дорожек следует </w:t>
            </w:r>
            <w:r w:rsidRPr="00814DAA">
              <w:lastRenderedPageBreak/>
              <w:t>предусматривать в качестве самостоятельных элементов сети дорог на стадии проектирования, строительства и реконструкции участков сети дорог, зон жилой застройки, общественных центров, в том числе торговых центров, учебных заведений, зон рекреации, на объектах транспорта (включая автовокзалы, автостанции, станции поездов пригородного сообщения, остановочные пункты) и на подходах к ним.</w:t>
            </w:r>
          </w:p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При размещении объектов нового строительства, предусматривающих комплексную многоквартирную жилую застройку, рекомендуется организовывать велотранспортную инфраструктуру на рекреационных территориях, в том числе для детей в пределах участка, отведенного под застройку объекта.</w:t>
            </w:r>
          </w:p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Велодорожки, велопешеходные дорожки должны размещаться вдоль автомобильных дорог общего пользования (элементов улично-дорожной сети населенного пункта), в жилых кварталах, в озелененных территориях общего пользования, вдоль набережных.</w:t>
            </w:r>
          </w:p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В зонах массового отдыха населения и на других озелененных территориях рекомендуется предусматривать велодорожки, изолированные от улиц, дорог и пешеходного движения</w:t>
            </w:r>
          </w:p>
        </w:tc>
      </w:tr>
    </w:tbl>
    <w:p w:rsidR="00591EEB" w:rsidRPr="00814DAA" w:rsidRDefault="00591EEB" w:rsidP="00591E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Расчетные показатели количества парковочных мест для велосипедов представлены в таблице 4.10.2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4.10.2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046"/>
        <w:gridCol w:w="3572"/>
      </w:tblGrid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F07EA9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№</w:t>
            </w:r>
            <w:r w:rsidR="00591EEB" w:rsidRPr="00814DAA">
              <w:t xml:space="preserve"> п/п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Тип объекта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Расчетные показатели количества парковочных мест для велосипедов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3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</w:t>
            </w:r>
          </w:p>
        </w:tc>
        <w:tc>
          <w:tcPr>
            <w:tcW w:w="8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  <w:outlineLvl w:val="0"/>
            </w:pPr>
            <w:r w:rsidRPr="00814DAA">
              <w:t>Объекты административно-делового назначения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Коммерческо-деловые центры, офисные здания и помещения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2 - 4 на 100 м</w:t>
            </w:r>
            <w:r w:rsidRPr="00814DAA">
              <w:rPr>
                <w:vertAlign w:val="superscript"/>
              </w:rPr>
              <w:t>2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Банки и банковские утверждения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2 - 4 на 100 м</w:t>
            </w:r>
            <w:r w:rsidRPr="00814DAA">
              <w:rPr>
                <w:vertAlign w:val="superscript"/>
              </w:rPr>
              <w:t>2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4</w:t>
            </w:r>
          </w:p>
        </w:tc>
        <w:tc>
          <w:tcPr>
            <w:tcW w:w="8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  <w:outlineLvl w:val="0"/>
            </w:pPr>
            <w:r w:rsidRPr="00814DAA">
              <w:t>Объекты науки и учебно-образовательного назначения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Высшие учебные заведения, профессиональные образовательные организации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60 на 100 студентов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Школы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50 на 100 школьников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7</w:t>
            </w:r>
          </w:p>
        </w:tc>
        <w:tc>
          <w:tcPr>
            <w:tcW w:w="8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  <w:outlineLvl w:val="0"/>
            </w:pPr>
            <w:r w:rsidRPr="00814DAA">
              <w:t>Объекты торгово-бытового и коммунального назначения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Специализированные объекты торгового назначения с широким ассортиментом товаров продовольственной и непродовольственной групп (отдельно стоящие супермаркеты)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5 - 7 на 100 м</w:t>
            </w:r>
            <w:r w:rsidRPr="00814DAA">
              <w:rPr>
                <w:vertAlign w:val="superscript"/>
              </w:rPr>
              <w:t>2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Торговые центры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6 - 8 на 100 м</w:t>
            </w:r>
            <w:r w:rsidRPr="00814DAA">
              <w:rPr>
                <w:vertAlign w:val="superscript"/>
              </w:rPr>
              <w:t>2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10</w:t>
            </w:r>
          </w:p>
        </w:tc>
        <w:tc>
          <w:tcPr>
            <w:tcW w:w="8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  <w:outlineLvl w:val="0"/>
            </w:pPr>
            <w:r w:rsidRPr="00814DAA">
              <w:t>Объекты культуры и искусства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Театры, концертные залы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20 - 25 на 100 посетителей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Кинотеатры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 xml:space="preserve">до 25 на 100 единовременных </w:t>
            </w:r>
            <w:r w:rsidRPr="00814DAA">
              <w:lastRenderedPageBreak/>
              <w:t>посетителей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lastRenderedPageBreak/>
              <w:t>13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Развлекательные центры, дискотеки, ночные клубы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25 на 100 единовременных посетителей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Аттракционы/тематические парки развлечений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10 - 15 на 100 единовременных посетителей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Места отдыха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20 - 35 на 100 единовременных посетителей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16</w:t>
            </w:r>
          </w:p>
        </w:tc>
        <w:tc>
          <w:tcPr>
            <w:tcW w:w="8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  <w:outlineLvl w:val="0"/>
            </w:pPr>
            <w:r w:rsidRPr="00814DAA">
              <w:t>Объекты здравоохранения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Поликлиники, в том числе амбулатории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25 на 100 единовременных посетителей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Больницы, профилактории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30 на 100 коек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19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Специализированные клиники, реабилитационные центры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20 на 100 коек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20</w:t>
            </w:r>
          </w:p>
        </w:tc>
        <w:tc>
          <w:tcPr>
            <w:tcW w:w="8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  <w:outlineLvl w:val="0"/>
            </w:pPr>
            <w:r w:rsidRPr="00814DAA">
              <w:t>Объекты социального обслуживания населения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Интернаты и пансионаты для престарелых и инвалидов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10 на 100 коек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22</w:t>
            </w:r>
          </w:p>
        </w:tc>
        <w:tc>
          <w:tcPr>
            <w:tcW w:w="8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  <w:outlineLvl w:val="0"/>
            </w:pPr>
            <w:r w:rsidRPr="00814DAA">
              <w:t>Объекты физической культуры и спорта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Спортивные комплексы и стадионы с трибунами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20 на 100 единовременных посетителей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Спортивные площадки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20 на поле</w:t>
            </w:r>
          </w:p>
        </w:tc>
      </w:tr>
      <w:tr w:rsidR="00591EEB" w:rsidRPr="00814DAA" w:rsidTr="00591EE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25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Оздоровительные комплексы (фитнес-клубы, ФОКи, спортивные и тренажерные залы, бассейны)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  <w:jc w:val="center"/>
            </w:pPr>
            <w:r w:rsidRPr="00814DAA">
              <w:t>до 35 на 100 единовременных посетителей</w:t>
            </w:r>
          </w:p>
        </w:tc>
      </w:tr>
      <w:tr w:rsidR="00591EEB" w:rsidRPr="00814DAA" w:rsidTr="00591EEB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Примечание. Велопарковки, велостоянки устраиваются возле учебных заведений, кинотеатров, магазинов площадью более 100 м</w:t>
            </w:r>
            <w:r w:rsidRPr="00814DAA">
              <w:rPr>
                <w:vertAlign w:val="superscript"/>
              </w:rPr>
              <w:t>2</w:t>
            </w:r>
            <w:r w:rsidRPr="00814DAA">
              <w:t>, торговых центров, обзорных площадок, музеев, пересадочных узлов, иных объектов.</w:t>
            </w:r>
          </w:p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Уличные велостоянки рекомендуется размещать на расстоянии не более 30 м от входа в учреждения, в хорошо освещенных местах с высокой интенсивностью пешеходного движения, в зоне обзора камер видеонаблюдения.</w:t>
            </w:r>
          </w:p>
          <w:p w:rsidR="00591EEB" w:rsidRPr="00814DAA" w:rsidRDefault="00591EEB" w:rsidP="00591EEB">
            <w:pPr>
              <w:autoSpaceDE w:val="0"/>
              <w:autoSpaceDN w:val="0"/>
              <w:adjustRightInd w:val="0"/>
            </w:pPr>
            <w:r w:rsidRPr="00814DAA">
              <w:t>При проектировании нового жилого дома рекомендуется предусматривать наличие мест постоянного хранения в количестве не менее 0,8 места на каждую квартиру. В существующих жилых зданиях количество мест определяется текущим спросом. Рекомендуется размещение велосипедов на место постоянного хранения в подвальных помещениях, специально отведенных помещениях в подъездах домов, велосипедных гаражах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814D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91EEB" w:rsidRPr="00D57BAA" w:rsidRDefault="00591EEB" w:rsidP="00814DA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7BAA">
        <w:rPr>
          <w:rFonts w:ascii="Times New Roman" w:hAnsi="Times New Roman" w:cs="Times New Roman"/>
          <w:sz w:val="24"/>
          <w:szCs w:val="24"/>
        </w:rPr>
        <w:t xml:space="preserve">Раздел II. </w:t>
      </w:r>
      <w:r w:rsidR="00814DAA" w:rsidRPr="00D57BAA">
        <w:rPr>
          <w:rFonts w:ascii="Times New Roman" w:hAnsi="Times New Roman" w:cs="Times New Roman"/>
          <w:sz w:val="24"/>
          <w:szCs w:val="24"/>
        </w:rPr>
        <w:t>Материалы по обоснованию расчетных показателей,</w:t>
      </w:r>
    </w:p>
    <w:p w:rsidR="00591EEB" w:rsidRPr="00D57BAA" w:rsidRDefault="00814DAA" w:rsidP="00814D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7BAA">
        <w:rPr>
          <w:rFonts w:ascii="Times New Roman" w:hAnsi="Times New Roman" w:cs="Times New Roman"/>
          <w:sz w:val="24"/>
          <w:szCs w:val="24"/>
        </w:rPr>
        <w:t>содержащихся в основной части нормативов градостроительного проектирования</w:t>
      </w:r>
    </w:p>
    <w:p w:rsidR="00591EEB" w:rsidRPr="00D57BAA" w:rsidRDefault="00591EEB" w:rsidP="00814D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814DA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57BAA">
        <w:rPr>
          <w:rFonts w:ascii="Times New Roman" w:hAnsi="Times New Roman" w:cs="Times New Roman"/>
          <w:sz w:val="24"/>
          <w:szCs w:val="24"/>
        </w:rPr>
        <w:t>5. Административно-территориальное устройство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Увинский район образован </w:t>
      </w:r>
      <w:r w:rsidR="00640731">
        <w:rPr>
          <w:rFonts w:ascii="Times New Roman" w:hAnsi="Times New Roman" w:cs="Times New Roman"/>
          <w:sz w:val="24"/>
          <w:szCs w:val="24"/>
        </w:rPr>
        <w:t>23</w:t>
      </w:r>
      <w:r w:rsidRPr="00814DAA">
        <w:rPr>
          <w:rFonts w:ascii="Times New Roman" w:hAnsi="Times New Roman" w:cs="Times New Roman"/>
          <w:sz w:val="24"/>
          <w:szCs w:val="24"/>
        </w:rPr>
        <w:t xml:space="preserve"> января 1935 года, расположен в центральной части </w:t>
      </w:r>
      <w:r w:rsidRPr="00814DAA">
        <w:rPr>
          <w:rFonts w:ascii="Times New Roman" w:hAnsi="Times New Roman" w:cs="Times New Roman"/>
          <w:sz w:val="24"/>
          <w:szCs w:val="24"/>
        </w:rPr>
        <w:lastRenderedPageBreak/>
        <w:t>Удмуртской Республики и граничит с Селтинским, Сюмсинским, Вавожским, Якшур-Бодьинским, Завьяловским, Малопургинским и Можгинским районами. Площадь территории Увинского района составляет - 2445,37 км</w:t>
      </w:r>
      <w:r w:rsidRPr="00814D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14DAA">
        <w:rPr>
          <w:rFonts w:ascii="Times New Roman" w:hAnsi="Times New Roman" w:cs="Times New Roman"/>
          <w:sz w:val="24"/>
          <w:szCs w:val="24"/>
        </w:rPr>
        <w:t>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Административный центр муниципального округа - посёлок Ува. На территории района 2 территориальных управления, 3 территориальных отдела, 89 населенных пунктов.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Для района характерна развитая транспортная сеть, высокая плотность автодороги и высокая доля дорог с твердым покрытием, что обеспечивает хорошую доступность районного центра и локальных подцентров - получасовая транспортная доступность обеспечивается практически для всех населенных пунктов района. Транспортный каркас формируется региональными дорогами. Главную роль играет автодорога «Ува- Ижевск», которая пересекает район с юго-востока на северо-запад.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Планировочную ткань района составляют, прежде всего, земли лесного фонда, а также земли сельскохозяйственного назначения.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На территории МО «Увинский район» находятся особоохраняемые природные территории (ООПТ).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 центральной и юго-восточной части района находятся санаторий «Ува», формирующи</w:t>
      </w:r>
      <w:r w:rsidR="00640731">
        <w:rPr>
          <w:rFonts w:ascii="Times New Roman" w:hAnsi="Times New Roman" w:cs="Times New Roman"/>
          <w:sz w:val="24"/>
          <w:szCs w:val="24"/>
        </w:rPr>
        <w:t>й</w:t>
      </w:r>
      <w:r w:rsidRPr="00814DAA">
        <w:rPr>
          <w:rFonts w:ascii="Times New Roman" w:hAnsi="Times New Roman" w:cs="Times New Roman"/>
          <w:sz w:val="24"/>
          <w:szCs w:val="24"/>
        </w:rPr>
        <w:t xml:space="preserve"> Увинскую рекреационную зону.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По территории района протекают около 200 рек. Главные водные артерии района – реки Ува и Нылга – правые притоки р. Вала. Н</w:t>
      </w:r>
      <w:r w:rsidR="00D80DBA">
        <w:rPr>
          <w:rFonts w:ascii="Times New Roman" w:hAnsi="Times New Roman" w:cs="Times New Roman"/>
          <w:sz w:val="24"/>
          <w:szCs w:val="24"/>
        </w:rPr>
        <w:t xml:space="preserve">а малых реках построены пруды: </w:t>
      </w:r>
      <w:r w:rsidRPr="00814DAA">
        <w:rPr>
          <w:rFonts w:ascii="Times New Roman" w:hAnsi="Times New Roman" w:cs="Times New Roman"/>
          <w:sz w:val="24"/>
          <w:szCs w:val="24"/>
        </w:rPr>
        <w:t>29 действующих прудов.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На территории района имеется множество памятников археологии, архитектуры, истории и культуры, которые находятся как в населенных пунктах, так и в долинах рек вне сел и деревень. Большую часть памятников составляют памятники археологии: селища, могильники, поселения. Некоторая часть памятников архитектуры, которые были выявлены на территории района, к настоящему моменту утрачена.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Для подготовки расчетных показателей в зависимости от проектной численности населения на расчетный срок подразделяется на группы в соответствии с таблицей 5.1.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5.1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Население (тыс. чел.)</w:t>
            </w:r>
          </w:p>
        </w:tc>
      </w:tr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Крупный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3</w:t>
            </w:r>
          </w:p>
        </w:tc>
      </w:tr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Большие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1 до 3</w:t>
            </w:r>
          </w:p>
        </w:tc>
      </w:tr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Свыше 0,2 до 1</w:t>
            </w:r>
          </w:p>
        </w:tc>
      </w:tr>
      <w:tr w:rsidR="00591EEB" w:rsidRPr="00814DAA" w:rsidTr="00591EEB"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Малые</w:t>
            </w:r>
          </w:p>
        </w:tc>
        <w:tc>
          <w:tcPr>
            <w:tcW w:w="4535" w:type="dxa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До 0,2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При подготовке документов территориального планирования Увинского района для применения дифференцированных показателей (норм) градостроительного проектирования следует учитывать: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имеющиеся ресурсы (транспортные, рекреационные, трудовые, природные, территориальные), их рациональное использование, состояние окружающей среды;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развитие социально-демографических ситуаций и экономической базы муниципальных образований;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роль муниципального округа</w:t>
      </w:r>
      <w:r w:rsidR="00F07EA9" w:rsidRPr="00814DAA">
        <w:rPr>
          <w:rFonts w:ascii="Times New Roman" w:hAnsi="Times New Roman" w:cs="Times New Roman"/>
          <w:sz w:val="24"/>
          <w:szCs w:val="24"/>
        </w:rPr>
        <w:t xml:space="preserve"> </w:t>
      </w:r>
      <w:r w:rsidRPr="00814DAA">
        <w:rPr>
          <w:rFonts w:ascii="Times New Roman" w:hAnsi="Times New Roman" w:cs="Times New Roman"/>
          <w:sz w:val="24"/>
          <w:szCs w:val="24"/>
        </w:rPr>
        <w:t>в системе расселения, значение в системе формируемых центров обслуживания (межрайонного, районного и местного уровня), их историко-культурное значение, туристическо-рекреационный потенциал, прогнозируемую численность населения и другие местные особенности;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оценку природно-климатических условий и данных об инженерно-геологических условиях территории.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lastRenderedPageBreak/>
        <w:t>6. Социально-демографический состав и плотность населения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Демографический потенциал Увинского района Удмуртской Республики во многом определяет перспективы их развития, экономическое и социальное благополучие и стабильность. Состояние демографической ситуации на территории Увинского района в целом отражает сложившиеся тенденции демографического развития в других муниципальных образованиях Удмуртской Республики и регионов Российской Федерации - это, прежде всего, постепенное сокращение численности, связанное с отрицательным естественным приростом населения (низкая рождаемость и заметно превышающая ее смертность), не перекрываемым миграционными притоком.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Демографическая ситуация складывается из естественного и миграционного прироста (убыли) населения. Оценка текущей демографической ситуации и исторически сложившихся тенденций является фундаментом для сценариев развития </w:t>
      </w:r>
      <w:r w:rsidR="00F07EA9" w:rsidRPr="00814DAA">
        <w:rPr>
          <w:rFonts w:ascii="Times New Roman" w:hAnsi="Times New Roman" w:cs="Times New Roman"/>
          <w:sz w:val="24"/>
          <w:szCs w:val="24"/>
        </w:rPr>
        <w:t>Увинского района</w:t>
      </w:r>
      <w:r w:rsidRPr="00814DAA">
        <w:rPr>
          <w:rFonts w:ascii="Times New Roman" w:hAnsi="Times New Roman" w:cs="Times New Roman"/>
          <w:sz w:val="24"/>
          <w:szCs w:val="24"/>
        </w:rPr>
        <w:t xml:space="preserve"> в том, что касается прогноза численности населения и человеческого потенциала.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Динамика численности населения по годам приведена в таблице 6.1.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Таблица 6.1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7"/>
        <w:gridCol w:w="964"/>
        <w:gridCol w:w="964"/>
        <w:gridCol w:w="964"/>
        <w:gridCol w:w="964"/>
        <w:gridCol w:w="964"/>
      </w:tblGrid>
      <w:tr w:rsidR="00591EEB" w:rsidRPr="00814DAA" w:rsidTr="00591EEB">
        <w:tc>
          <w:tcPr>
            <w:tcW w:w="4227" w:type="dxa"/>
            <w:vMerge w:val="restart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Число населения по года (на 1 января), чел.</w:t>
            </w:r>
          </w:p>
        </w:tc>
      </w:tr>
      <w:tr w:rsidR="00591EEB" w:rsidRPr="00814DAA" w:rsidTr="00591EEB">
        <w:tc>
          <w:tcPr>
            <w:tcW w:w="4227" w:type="dxa"/>
            <w:vMerge/>
            <w:shd w:val="clear" w:color="auto" w:fill="auto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591EEB" w:rsidRPr="00814DAA" w:rsidTr="00591EEB">
        <w:tc>
          <w:tcPr>
            <w:tcW w:w="4227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Увинского района</w:t>
            </w: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37848</w:t>
            </w: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37895</w:t>
            </w: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34627</w:t>
            </w: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34140</w:t>
            </w:r>
          </w:p>
        </w:tc>
        <w:tc>
          <w:tcPr>
            <w:tcW w:w="964" w:type="dxa"/>
            <w:shd w:val="clear" w:color="auto" w:fill="auto"/>
          </w:tcPr>
          <w:p w:rsidR="00591EEB" w:rsidRPr="00814DAA" w:rsidRDefault="00591EEB" w:rsidP="00591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DAA">
              <w:rPr>
                <w:rFonts w:ascii="Times New Roman" w:hAnsi="Times New Roman" w:cs="Times New Roman"/>
                <w:sz w:val="24"/>
                <w:szCs w:val="24"/>
              </w:rPr>
              <w:t>33739</w:t>
            </w:r>
          </w:p>
        </w:tc>
      </w:tr>
    </w:tbl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Демографическая ситуация в Увинском районе на последующие периоды характеризуется продолжающимся процессом убыли населения.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На момент корректировки документов территориального планирования или подготовки документации по планировке территории при фактической численности населения отличной от проектной, расчет осуществляется по фактически достигнутой численности населения.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7. Природно-климатические условия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Разработка нормативов градостроительного проектирования муниципального образования «Муниципальный округ Увинский район Удмуртской Республики» осуществлялась с учетом природно-климатических характеристик муниципального округа по следующим направлениям: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климатические особенности;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опасные природные явления.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Климатические особенности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В течение года средняя температура воздуха Увинского района составляет +2,1 град. C. Самым холодным месяцем является январь с средней температурой -14,3 град. C, а самым теплым - июль, когда столбик термометра в среднем поднимается до </w:t>
      </w:r>
      <w:r w:rsidR="00D80DBA" w:rsidRPr="00D80DBA">
        <w:rPr>
          <w:rFonts w:ascii="Times New Roman" w:hAnsi="Times New Roman" w:cs="Times New Roman"/>
          <w:sz w:val="24"/>
          <w:szCs w:val="24"/>
        </w:rPr>
        <w:t>+</w:t>
      </w:r>
      <w:r w:rsidRPr="00814DAA">
        <w:rPr>
          <w:rFonts w:ascii="Times New Roman" w:hAnsi="Times New Roman" w:cs="Times New Roman"/>
          <w:sz w:val="24"/>
          <w:szCs w:val="24"/>
        </w:rPr>
        <w:t>18,4 град. C.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Последние весенние заморозки наблюдаются до 19 мая. Первые осенние заморозки наступают 21 сентября.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Продолжительность безморозного периода в среднем 124 дня с колебаниями от 97 до 165 дней.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Устойчивый снежный покров образуется в первой декаде ноября, сохраняется 160 - 165 дней и сходит во второй - третьей декаде апреля.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Глубина промерзания почвы 168 - 170 см.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Среднегодовое атмосферное давление составляет 747 мм. рт. ст., а влажность воздуха 77%.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Летние месяцы отличаются большой неустойчивостью увлажнения, отклонения от нормы осадков летом возможны через каждые 3 - 4 года. Кроме того, большое количество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lastRenderedPageBreak/>
        <w:t>осадков может быть вызвано небольшим числом ливней, в то время как весь месяц может оставаться сухим. Ливни, во время которых выпадает 30 мм осадков, бывают почти ежегодно.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 среднем за год преобладающими направлениями ветра на территории Увинского района являются южное и юг-юго-западное. Средние месячные максимальные скорости ветра примерно на 2 - 3 м/с больше средних скоростей и составляют 5,5 - 6,4 м/с в летние месяцы и 6,5 - 7,0 м/с - в зимние. Самым спокойным месяцем является сентябрь, а самым ветреным апрель.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Состояние неба на территории Увинского района в течение года: ясно - 11%, облачно - 23%, пасмурно - 66%. Наибольшее число часов с солнечным сиянием отмечается в июне - июле, наименьшее в декабре. Продолжительность солнечного сияния в течение всего года снижается из-за влияния облачности. В июне - июле сумма солнечного сияния составляет около 70% от возможного. Самый пасмурный месяц в Увинском районе ноябрь, пасмурное состояние неба повторяется в 89% случаев.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Средний годовой радиационный баланс на территории Увинского района составляет около 1400 Мдж/м</w:t>
      </w:r>
      <w:r w:rsidRPr="00814D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14DAA">
        <w:rPr>
          <w:rFonts w:ascii="Times New Roman" w:hAnsi="Times New Roman" w:cs="Times New Roman"/>
          <w:sz w:val="24"/>
          <w:szCs w:val="24"/>
        </w:rPr>
        <w:t>. Период с положительным радиационным балансом составляет около 7 месяцев. Переход радиационного баланса от отрицательных значений к положительным происходит в марте - феврале.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Опасные природные явления.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Опасных природных процессов (оползни, сели, карст, ураганы, смерчи), требующих защитных мер на территории Увинского района, не наблюдается. Уровень природного риска на территории градостроительного освоения невысок.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Наиболее опасными природными явлениями, при которых на отдельных территориях и в целом по Увинскому району может возникать чрезвычайная обстановка, являются: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природные пожары (лесные и торфяные);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метеорологические явления (шквал, сильный ветер, продолжительный дождь (ливень), град, туман, сильный снегопад, заморозки, почвенная и атмосферная засуха).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Опасные природные процессы на территории Увинского района не представляют непосредственной опасности для жизни людей, но являются внешним воздействующим фактором и могут нанести колоссальный ущерб зданиям, сооружениям, установленному в них оборудованию, транспорту и коммуникациям.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8. Анализ планов социально-экономического развития</w:t>
      </w:r>
    </w:p>
    <w:p w:rsidR="0052502B" w:rsidRDefault="00591EEB" w:rsidP="00591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Увинского района в целях выявления</w:t>
      </w:r>
      <w:r w:rsidR="00814DAA">
        <w:rPr>
          <w:rFonts w:ascii="Times New Roman" w:hAnsi="Times New Roman" w:cs="Times New Roman"/>
          <w:sz w:val="24"/>
          <w:szCs w:val="24"/>
        </w:rPr>
        <w:t xml:space="preserve"> </w:t>
      </w:r>
      <w:r w:rsidRPr="00814DAA">
        <w:rPr>
          <w:rFonts w:ascii="Times New Roman" w:hAnsi="Times New Roman" w:cs="Times New Roman"/>
          <w:sz w:val="24"/>
          <w:szCs w:val="24"/>
        </w:rPr>
        <w:t xml:space="preserve">показателей, которые необходимо учитывать </w:t>
      </w:r>
    </w:p>
    <w:p w:rsidR="00591EEB" w:rsidRPr="00814DAA" w:rsidRDefault="00591EEB" w:rsidP="00591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 нормативах</w:t>
      </w:r>
      <w:r w:rsidR="0052502B">
        <w:rPr>
          <w:rFonts w:ascii="Times New Roman" w:hAnsi="Times New Roman" w:cs="Times New Roman"/>
          <w:sz w:val="24"/>
          <w:szCs w:val="24"/>
        </w:rPr>
        <w:t xml:space="preserve"> </w:t>
      </w:r>
      <w:r w:rsidRPr="00814DAA">
        <w:rPr>
          <w:rFonts w:ascii="Times New Roman" w:hAnsi="Times New Roman" w:cs="Times New Roman"/>
          <w:sz w:val="24"/>
          <w:szCs w:val="24"/>
        </w:rPr>
        <w:t>градостроительного проектирования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Нормативы градостроительного проектиров</w:t>
      </w:r>
      <w:r w:rsidR="0052502B">
        <w:rPr>
          <w:rFonts w:ascii="Times New Roman" w:hAnsi="Times New Roman" w:cs="Times New Roman"/>
          <w:sz w:val="24"/>
          <w:szCs w:val="24"/>
        </w:rPr>
        <w:t xml:space="preserve">ания муниципального образования </w:t>
      </w:r>
      <w:r w:rsidRPr="00814DAA">
        <w:rPr>
          <w:rFonts w:ascii="Times New Roman" w:hAnsi="Times New Roman" w:cs="Times New Roman"/>
          <w:sz w:val="24"/>
          <w:szCs w:val="24"/>
        </w:rPr>
        <w:t>«Муниципальный округ Увинский район Удмуртской Республики» разработаны для подготовки, согласования, утверждения и реализации документов территориального планирования и документации по планировке территории с учетом перспективы развития муниципальных образований в составе района.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Нормативы направлены на устойчивое развитие территорий путем обеспечения при осуществлении градостроительной деятельности безопасности и благоприятных условий жизнедеятельности населения. Ограничения негативного воздействия хозяйственной и иной деятельности на окружающую среду и обеспечения охраны и рационального использования природных ресурсов в интересах настоящего и будущего поколений, а также инженерной защиты населения и территорий от опасных природных и техногенных процессов.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Нормативы обеспечивают социальную стабильность, соблюдение социальных прав и гарантий населения Увинского района Удмуртской Республики за счет использования социальных мер защиты населения.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Нормативы структурированы в соответствии с полномочиями органов местного самоуправления муниципального округа в соответствии с требованиями Федерального </w:t>
      </w:r>
      <w:hyperlink r:id="rId25">
        <w:r w:rsidRPr="00814DA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</w:t>
      </w:r>
      <w:r w:rsidR="00F07EA9" w:rsidRPr="00814DAA">
        <w:rPr>
          <w:rFonts w:ascii="Times New Roman" w:hAnsi="Times New Roman" w:cs="Times New Roman"/>
          <w:sz w:val="24"/>
          <w:szCs w:val="24"/>
        </w:rPr>
        <w:t>№</w:t>
      </w:r>
      <w:r w:rsidRPr="00814DAA">
        <w:rPr>
          <w:rFonts w:ascii="Times New Roman" w:hAnsi="Times New Roman" w:cs="Times New Roman"/>
          <w:sz w:val="24"/>
          <w:szCs w:val="24"/>
        </w:rPr>
        <w:t xml:space="preserve"> 131-ФЗ от 6 октября 2003 года «Об общих принципах организации местного самоуправления в Российской Федерации» и </w:t>
      </w:r>
      <w:hyperlink r:id="rId26">
        <w:r w:rsidRPr="00814DAA">
          <w:rPr>
            <w:rFonts w:ascii="Times New Roman" w:hAnsi="Times New Roman" w:cs="Times New Roman"/>
            <w:sz w:val="24"/>
            <w:szCs w:val="24"/>
          </w:rPr>
          <w:t>Устава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814DAA">
        <w:rPr>
          <w:rFonts w:ascii="Times New Roman" w:hAnsi="Times New Roman" w:cs="Times New Roman"/>
          <w:sz w:val="24"/>
          <w:szCs w:val="24"/>
        </w:rPr>
        <w:lastRenderedPageBreak/>
        <w:t>«Муниципальный округ Увинский район Удмуртской Республики».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Приоритетной задачей района является обеспечение устойчивого и надежного функционирования инженерных систем и связи территории </w:t>
      </w:r>
      <w:r w:rsidR="00F07EA9" w:rsidRPr="00814DAA">
        <w:rPr>
          <w:rFonts w:ascii="Times New Roman" w:hAnsi="Times New Roman" w:cs="Times New Roman"/>
          <w:sz w:val="24"/>
          <w:szCs w:val="24"/>
        </w:rPr>
        <w:t xml:space="preserve">Увинского </w:t>
      </w:r>
      <w:r w:rsidRPr="00814DAA">
        <w:rPr>
          <w:rFonts w:ascii="Times New Roman" w:hAnsi="Times New Roman" w:cs="Times New Roman"/>
          <w:sz w:val="24"/>
          <w:szCs w:val="24"/>
        </w:rPr>
        <w:t>района.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 соответствии со стратегическими направлениями в нормативах разработаны разделы «Объекты инженерной инфраструктуры», где приведены все необходимые расчетные показатели для обеспечения подготовки документов территориального планирования (схемы территориального планирования) муниципального округа и документации по планировке территории.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Муниципальные автомобильные дороги общего пользования района без надлежащего и своевременного ремонта не выдерживают современных транспортных нагрузок. Кроме того, в районе еще остаются населенные пункты, не имеющие подъездов с твердым покрытием, бесхозяйственные дороги, по которым необходимо провести реконструкцию. Остается низким уровень обеспеченности автомобильных дорог автопавильонами и съездами.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Сегодняшняя ситуация в дорожной отрасли характеризуется ростом спроса на автомобильные перевозки, увеличением количества транспортных средств и одновременно с этим отставанием в развитии дорожной сети района, медленным ростом протяженности и пропускной способности автомобильных дорог.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Таким образом, одним из важнейших условий устойчивого развития экономики Увинского района является сохранение и развитие сети автомобильных дорог местного значения общего пользования, объектов дорожного сервиса и транспортного обслуживания населения района, способствующих эффективности использования производственных и сельскохозяйственных мощностей и ресурсов, оптимизации структуры дорожно-транспортного комплекса. В связи с важностью данных задач в местных нормативах разработан раздел «Автомобильные дороги местного значения».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Социальная сфера Увинского района представлена: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а) системой образования, которая включает в себя 47 учреждений образования, в том числе: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дошкольные образовательные учреждения - 19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общеобразовательные учреждения – 23, включающие 14 структурных подразделений детских садов;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учреждения дополнительного образования - 5;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б) системой учреждений здравоохранения: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районная больница п. Ува;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участковая больница в с. Нылга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в) культура и спорт: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- 28 клубных учреждений;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стадион «Юбилейный» в пос. Ува;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- лыжная база в пос. Ува.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Особое внимание в нормативах уделяется разработке расчетных показателей для проектирования объектов социальной инфраструктуры в составе разделов.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«Объекты образования», «Объекты здравоохранения», «Объекты физической культуры и массового спорта», «Объекты культуры и искусства». Кроме перечисленных разделов в нормативах разработан раздел «Объекты общественного питания, торговли и бытового обслуживания». В данном разделе приведены все необходимые расчетные показатели для градостроительного проектирования объектов обслуживания.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К полномочиям органов местного самоуправления района относится участие в организации деятельности по сбору, транспортированию, обработке, утилизации, обезвреживанию, захоронению твердых коммунальных отходов на территории района, что способствует сохранению стабильной экологической ситуации в районе.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Разработанные нормативы градостроительного проектирования муниципального об</w:t>
      </w:r>
      <w:r w:rsidR="005B1A72">
        <w:rPr>
          <w:rFonts w:ascii="Times New Roman" w:hAnsi="Times New Roman" w:cs="Times New Roman"/>
          <w:sz w:val="24"/>
          <w:szCs w:val="24"/>
        </w:rPr>
        <w:t xml:space="preserve">разования «Муниципальный округ </w:t>
      </w:r>
      <w:r w:rsidRPr="00814DAA">
        <w:rPr>
          <w:rFonts w:ascii="Times New Roman" w:hAnsi="Times New Roman" w:cs="Times New Roman"/>
          <w:sz w:val="24"/>
          <w:szCs w:val="24"/>
        </w:rPr>
        <w:t xml:space="preserve">Увинский район Удмуртской Республики» будут встроены в систему нормативно-технических документов в сфере регулирования градостроительной деятельности и окажут влияние на реализацию документов муниципального планирования на территории муниципального образования </w:t>
      </w:r>
      <w:r w:rsidRPr="00814DAA">
        <w:rPr>
          <w:rFonts w:ascii="Times New Roman" w:hAnsi="Times New Roman" w:cs="Times New Roman"/>
          <w:sz w:val="24"/>
          <w:szCs w:val="24"/>
        </w:rPr>
        <w:lastRenderedPageBreak/>
        <w:t>«Муниципальный округ Увинский район Удмуртской Республики».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Раздел III. </w:t>
      </w:r>
      <w:r w:rsidR="00814DAA" w:rsidRPr="00814DAA">
        <w:rPr>
          <w:rFonts w:ascii="Times New Roman" w:hAnsi="Times New Roman" w:cs="Times New Roman"/>
          <w:sz w:val="24"/>
          <w:szCs w:val="24"/>
        </w:rPr>
        <w:t>Правила и область применения расчетных</w:t>
      </w:r>
    </w:p>
    <w:p w:rsidR="00591EEB" w:rsidRPr="00814DAA" w:rsidRDefault="00814DAA" w:rsidP="00591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показателей, содержащихся в основной части нормативов</w:t>
      </w:r>
    </w:p>
    <w:p w:rsidR="00591EEB" w:rsidRPr="00814DAA" w:rsidRDefault="00814DAA" w:rsidP="00591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градостроительного проектирования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9. Область применения расчетных показателей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</w:t>
      </w:r>
      <w:hyperlink r:id="rId27">
        <w:r w:rsidRPr="00814DA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814DAA">
        <w:rPr>
          <w:rFonts w:ascii="Times New Roman" w:hAnsi="Times New Roman" w:cs="Times New Roman"/>
          <w:sz w:val="24"/>
          <w:szCs w:val="24"/>
        </w:rPr>
        <w:t xml:space="preserve"> Российской Федерации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Увинского района Удмуртской Республики в целях обеспечения благоприятных условий жизнедеятельности населения.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Нормативы направлены на обеспечение градостроительными средствами (совокупностью расчетных показателей) безопасности и устойчивости развития Увинского района, охрану здоровья населения, рациональное использование природных ресурсов и охрану окружающей среды, сохранение памятников истории и культуры, защиту территорий населенных пунктов от неблагоприятных воздействий природного и техногенного характера, а также на создание условий для реализации определенных законодательством Российской Федерации социальных гарантий граждан в части обеспечения объектами социального и культурно-бытового обслуживания, инженерной и транспортной инфраструктуры и благоустройства.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Областью применения нормативов градостроительного проектирования являются: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1) при подготовке программ комплексного развития социальной инфраструктуры;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2) при подготовке программ комплексного развития коммунальной инфраструктуры;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3) при подготовке программ комплексного развития транспортной инфраструктуры;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4) при подготовке проектов внесения изменений в схему территориального планирования Увинского района;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5) при подготовке проектов генеральных планов, в том числе при подготовке проектов внесения изменений в генеральные планы;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6) при подготовке правил землепользования и застройки, в том числе при подготовке проектов внесения изменений в правила землепользования и застройки;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7) при подготовке документации по планировке территории;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8) при подготовке проектной документации на объекты капитального строительства, являющихся объектами местного значения Увинского района;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9) 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Увинского района и расчетных показателей максимально допустимого уровня территориальной доступности таких объектов для населения Увинского района.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Нормативы входят в систему нормативных документов, регламентирующих градостроительную деятельность на территории муниципального образования «Муниципальный округ Увинский район Удмуртской Республики».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Настоящие нормативы устанавливают требования, обязательные для всех субъектов градостроительных отношений, осуществляющих свою деятельность на территории муниципального образования «Муниципальный округ Увинский район Удмуртской Республики», независимо от их организационно-правовой формы.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Нормативы конкретизируют и развивают основные положения действующих федеральных норм. По вопросам, не рассматриваемым в нормативах, следует руководствоваться законами и нормативно-техническими документами, действующими на территории Российской Федерации.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lastRenderedPageBreak/>
        <w:t>10. Правила применения расчетных показателей</w:t>
      </w:r>
    </w:p>
    <w:p w:rsidR="00591EEB" w:rsidRPr="00814DAA" w:rsidRDefault="00591EEB" w:rsidP="00591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Установление совокупности расчетных показателей минимально допустимого уровня обеспеченности объектами местного значения муниципального округа, установление максимально допустимого уровня территориальной доступности таких объектов для населения Увинского района необходимы для определения местоположения планируемых к размещению объектов местного значения в схеме территориального планирования Увинского района в целях обеспечения благоприятных условий жизнедеятельности населения.</w:t>
      </w:r>
    </w:p>
    <w:p w:rsidR="00591EEB" w:rsidRPr="00814DAA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DAA">
        <w:rPr>
          <w:rFonts w:ascii="Times New Roman" w:hAnsi="Times New Roman" w:cs="Times New Roman"/>
          <w:sz w:val="24"/>
          <w:szCs w:val="24"/>
        </w:rPr>
        <w:t>Определение местоположения планируемого к размещению объекта местного значения следует осуществлять исходя из минимально допустимого уровня обеспеченности объектами, установленного настоящими нормативами, и максимально допустимого уровня территориальной доступности того или иного объекта, установленного настоящими нормативами в целях градостроительного проектирования.</w:t>
      </w:r>
    </w:p>
    <w:p w:rsidR="00591EEB" w:rsidRPr="00F07EA9" w:rsidRDefault="00591EEB" w:rsidP="00591EE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91EEB" w:rsidRPr="00F07EA9" w:rsidRDefault="00591EEB" w:rsidP="00591EEB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F07EA9">
        <w:rPr>
          <w:rFonts w:ascii="Times New Roman" w:hAnsi="Times New Roman" w:cs="Times New Roman"/>
        </w:rPr>
        <w:t>________________________________________</w:t>
      </w:r>
    </w:p>
    <w:sectPr w:rsidR="00591EEB" w:rsidRPr="00F07EA9" w:rsidSect="005864C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"/>
  </w:num>
  <w:num w:numId="5">
    <w:abstractNumId w:val="9"/>
  </w:num>
  <w:num w:numId="6">
    <w:abstractNumId w:val="11"/>
  </w:num>
  <w:num w:numId="7">
    <w:abstractNumId w:val="3"/>
  </w:num>
  <w:num w:numId="8">
    <w:abstractNumId w:val="13"/>
  </w:num>
  <w:num w:numId="9">
    <w:abstractNumId w:val="8"/>
  </w:num>
  <w:num w:numId="10">
    <w:abstractNumId w:val="4"/>
  </w:num>
  <w:num w:numId="11">
    <w:abstractNumId w:val="7"/>
  </w:num>
  <w:num w:numId="12">
    <w:abstractNumId w:val="6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5D2B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BC5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497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A54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2FE8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252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753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BB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8F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63A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17B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0FB8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95F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4B5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87A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CE1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2B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2B8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4C7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1EEB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A72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CF8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D91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179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3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D85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4E51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29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59D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460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DAA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1C6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DE9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4FC9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DA9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674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52B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1B12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609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25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4F31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BF6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993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950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9F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57BAA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BA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4966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62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5C9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CDB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5F78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07EA9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98C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16A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68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0FE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8E4FC9"/>
    <w:pPr>
      <w:spacing w:before="100" w:beforeAutospacing="1" w:after="100" w:afterAutospacing="1"/>
    </w:pPr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4D3CE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D3C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Отступ перед"/>
    <w:basedOn w:val="a"/>
    <w:uiPriority w:val="99"/>
    <w:rsid w:val="00713329"/>
    <w:pPr>
      <w:widowControl w:val="0"/>
      <w:shd w:val="clear" w:color="auto" w:fill="FFFFFF"/>
      <w:suppressAutoHyphens/>
      <w:autoSpaceDN w:val="0"/>
      <w:spacing w:before="120"/>
      <w:ind w:firstLine="284"/>
      <w:jc w:val="both"/>
    </w:pPr>
    <w:rPr>
      <w:rFonts w:cs="Mangal"/>
      <w:kern w:val="3"/>
      <w:szCs w:val="22"/>
      <w:lang w:eastAsia="zh-CN" w:bidi="hi-IN"/>
    </w:rPr>
  </w:style>
  <w:style w:type="paragraph" w:customStyle="1" w:styleId="ConsPlusTitle">
    <w:name w:val="ConsPlusTitle"/>
    <w:rsid w:val="00591E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591E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8E4FC9"/>
    <w:pPr>
      <w:spacing w:before="100" w:beforeAutospacing="1" w:after="100" w:afterAutospacing="1"/>
    </w:pPr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4D3CE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D3C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Отступ перед"/>
    <w:basedOn w:val="a"/>
    <w:uiPriority w:val="99"/>
    <w:rsid w:val="00713329"/>
    <w:pPr>
      <w:widowControl w:val="0"/>
      <w:shd w:val="clear" w:color="auto" w:fill="FFFFFF"/>
      <w:suppressAutoHyphens/>
      <w:autoSpaceDN w:val="0"/>
      <w:spacing w:before="120"/>
      <w:ind w:firstLine="284"/>
      <w:jc w:val="both"/>
    </w:pPr>
    <w:rPr>
      <w:rFonts w:cs="Mangal"/>
      <w:kern w:val="3"/>
      <w:szCs w:val="22"/>
      <w:lang w:eastAsia="zh-CN" w:bidi="hi-IN"/>
    </w:rPr>
  </w:style>
  <w:style w:type="paragraph" w:customStyle="1" w:styleId="ConsPlusTitle">
    <w:name w:val="ConsPlusTitle"/>
    <w:rsid w:val="00591E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591E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185" TargetMode="External"/><Relationship Id="rId13" Type="http://schemas.openxmlformats.org/officeDocument/2006/relationships/hyperlink" Target="https://login.consultant.ru/link/?req=doc&amp;base=RLAW053&amp;n=151641" TargetMode="External"/><Relationship Id="rId18" Type="http://schemas.openxmlformats.org/officeDocument/2006/relationships/hyperlink" Target="https://login.consultant.ru/link/?req=doc&amp;base=LAW&amp;n=461843" TargetMode="External"/><Relationship Id="rId26" Type="http://schemas.openxmlformats.org/officeDocument/2006/relationships/hyperlink" Target="https://login.consultant.ru/link/?req=doc&amp;base=RLAW053&amp;n=151411&amp;dst=10001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053&amp;n=156823&amp;dst=100012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464185" TargetMode="External"/><Relationship Id="rId17" Type="http://schemas.openxmlformats.org/officeDocument/2006/relationships/hyperlink" Target="https://login.consultant.ru/link/?req=doc&amp;base=LAW&amp;n=465775" TargetMode="External"/><Relationship Id="rId25" Type="http://schemas.openxmlformats.org/officeDocument/2006/relationships/hyperlink" Target="https://login.consultant.ru/link/?req=doc&amp;base=LAW&amp;n=47283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5775" TargetMode="External"/><Relationship Id="rId20" Type="http://schemas.openxmlformats.org/officeDocument/2006/relationships/hyperlink" Target="https://login.consultant.ru/link/?req=doc&amp;base=LAW&amp;n=325763&amp;dst=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53&amp;n=156823&amp;dst=100012" TargetMode="External"/><Relationship Id="rId24" Type="http://schemas.openxmlformats.org/officeDocument/2006/relationships/hyperlink" Target="https://login.consultant.ru/link/?req=doc&amp;base=STR&amp;n=285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13040&amp;dst=100012" TargetMode="External"/><Relationship Id="rId23" Type="http://schemas.openxmlformats.org/officeDocument/2006/relationships/hyperlink" Target="https://login.consultant.ru/link/?req=doc&amp;base=STR&amp;n=2851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79662" TargetMode="External"/><Relationship Id="rId19" Type="http://schemas.openxmlformats.org/officeDocument/2006/relationships/hyperlink" Target="https://login.consultant.ru/link/?req=doc&amp;base=LAW&amp;n=1116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53&amp;n=151641" TargetMode="External"/><Relationship Id="rId14" Type="http://schemas.openxmlformats.org/officeDocument/2006/relationships/hyperlink" Target="https://login.consultant.ru/link/?req=doc&amp;base=LAW&amp;n=464879" TargetMode="External"/><Relationship Id="rId22" Type="http://schemas.openxmlformats.org/officeDocument/2006/relationships/hyperlink" Target="https://login.consultant.ru/link/?req=doc&amp;base=RLAW053&amp;n=98766" TargetMode="External"/><Relationship Id="rId27" Type="http://schemas.openxmlformats.org/officeDocument/2006/relationships/hyperlink" Target="https://login.consultant.ru/link/?req=doc&amp;base=LAW&amp;n=464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7E276-9B42-4BB4-94D7-9C0C2888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4163</TotalTime>
  <Pages>25</Pages>
  <Words>9161</Words>
  <Characters>52219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21</cp:revision>
  <cp:lastPrinted>2025-01-15T09:52:00Z</cp:lastPrinted>
  <dcterms:created xsi:type="dcterms:W3CDTF">2024-12-13T12:18:00Z</dcterms:created>
  <dcterms:modified xsi:type="dcterms:W3CDTF">2025-01-10T05:34:00Z</dcterms:modified>
</cp:coreProperties>
</file>